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sdt>
      <w:sdtPr>
        <w:rPr>
          <w:rFonts w:eastAsiaTheme="minorEastAsia"/>
          <w:color w:val="FFFFFF" w:themeColor="background1"/>
          <w:spacing w:val="15"/>
          <w:sz w:val="50"/>
          <w:szCs w:val="32"/>
        </w:rPr>
        <w:id w:val="1678464709"/>
        <w:docPartObj>
          <w:docPartGallery w:val="Cover Pages"/>
          <w:docPartUnique/>
        </w:docPartObj>
      </w:sdtPr>
      <w:sdtEndPr/>
      <w:sdtContent>
        <w:p w14:paraId="74E1558E" w14:textId="644966D6" w:rsidR="00595993" w:rsidRDefault="00595993" w:rsidP="00E45E49">
          <w:pPr>
            <w:rPr>
              <w:color w:val="FFFFFF" w:themeColor="background1"/>
              <w:sz w:val="40"/>
              <w:szCs w:val="40"/>
            </w:rPr>
            <w:sectPr w:rsidR="00595993" w:rsidSect="000C0D5E">
              <w:footerReference w:type="even" r:id="rId10"/>
              <w:headerReference w:type="first" r:id="rId11"/>
              <w:pgSz w:w="11906" w:h="16838" w:code="9"/>
              <w:pgMar w:top="1021" w:right="1418" w:bottom="1247" w:left="1701" w:header="1021" w:footer="1247" w:gutter="0"/>
              <w:pgNumType w:start="1"/>
              <w:cols w:space="340"/>
              <w:titlePg/>
              <w:docGrid w:linePitch="360"/>
            </w:sectPr>
          </w:pPr>
        </w:p>
        <w:bookmarkEnd w:id="0"/>
        <w:p w14:paraId="039C2725" w14:textId="77777777" w:rsidR="00E45E49" w:rsidRDefault="00E45E49" w:rsidP="00E45E49">
          <w:pPr>
            <w:rPr>
              <w:color w:val="FFFFFF" w:themeColor="background1"/>
              <w:sz w:val="40"/>
              <w:szCs w:val="40"/>
            </w:rPr>
          </w:pPr>
        </w:p>
        <w:p w14:paraId="244D5CFA" w14:textId="57961C58" w:rsidR="00E73446" w:rsidRPr="008F3C3F" w:rsidRDefault="003045D9" w:rsidP="00435829">
          <w:pPr>
            <w:pStyle w:val="Untertitel"/>
            <w:numPr>
              <w:ilvl w:val="0"/>
              <w:numId w:val="0"/>
            </w:numPr>
            <w:jc w:val="left"/>
            <w:rPr>
              <w:lang w:val="en-GB"/>
            </w:rPr>
          </w:pPr>
          <w:r w:rsidRPr="00B360F3">
            <w:rPr>
              <w:noProof/>
              <w:sz w:val="40"/>
              <w:szCs w:val="40"/>
              <w:lang w:eastAsia="de-DE"/>
            </w:rPr>
            <w:drawing>
              <wp:anchor distT="0" distB="0" distL="114300" distR="114300" simplePos="0" relativeHeight="251765760" behindDoc="1" locked="0" layoutInCell="1" allowOverlap="1" wp14:anchorId="6FDB5200" wp14:editId="34CA3A74">
                <wp:simplePos x="0" y="0"/>
                <wp:positionH relativeFrom="page">
                  <wp:posOffset>-7214235</wp:posOffset>
                </wp:positionH>
                <wp:positionV relativeFrom="paragraph">
                  <wp:posOffset>-4806950</wp:posOffset>
                </wp:positionV>
                <wp:extent cx="5045710" cy="5676900"/>
                <wp:effectExtent l="0" t="0" r="2540" b="0"/>
                <wp:wrapNone/>
                <wp:docPr id="5038391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839116" name=""/>
                        <pic:cNvPicPr/>
                      </pic:nvPicPr>
                      <pic:blipFill>
                        <a:blip r:embed="rId12">
                          <a:extLst>
                            <a:ext uri="{28A0092B-C50C-407E-A947-70E740481C1C}">
                              <a14:useLocalDpi xmlns:a14="http://schemas.microsoft.com/office/drawing/2010/main" val="0"/>
                            </a:ext>
                          </a:extLst>
                        </a:blip>
                        <a:stretch>
                          <a:fillRect/>
                        </a:stretch>
                      </pic:blipFill>
                      <pic:spPr>
                        <a:xfrm>
                          <a:off x="0" y="0"/>
                          <a:ext cx="5045710" cy="5676900"/>
                        </a:xfrm>
                        <a:prstGeom prst="rect">
                          <a:avLst/>
                        </a:prstGeom>
                      </pic:spPr>
                    </pic:pic>
                  </a:graphicData>
                </a:graphic>
                <wp14:sizeRelH relativeFrom="margin">
                  <wp14:pctWidth>0</wp14:pctWidth>
                </wp14:sizeRelH>
                <wp14:sizeRelV relativeFrom="margin">
                  <wp14:pctHeight>0</wp14:pctHeight>
                </wp14:sizeRelV>
              </wp:anchor>
            </w:drawing>
          </w:r>
        </w:p>
      </w:sdtContent>
    </w:sdt>
    <w:sdt>
      <w:sdtPr>
        <w:rPr>
          <w:rFonts w:ascii="Open Sans" w:eastAsiaTheme="minorHAnsi" w:hAnsi="Open Sans" w:cstheme="minorBidi"/>
          <w:b/>
          <w:color w:val="auto"/>
          <w:sz w:val="18"/>
          <w:szCs w:val="18"/>
          <w:lang w:eastAsia="en-US"/>
        </w:rPr>
        <w:id w:val="-384332178"/>
        <w:docPartObj>
          <w:docPartGallery w:val="Table of Contents"/>
          <w:docPartUnique/>
        </w:docPartObj>
      </w:sdtPr>
      <w:sdtEndPr>
        <w:rPr>
          <w:rFonts w:ascii="Noto Sans" w:hAnsi="Noto Sans"/>
          <w:b w:val="0"/>
          <w:sz w:val="20"/>
        </w:rPr>
      </w:sdtEndPr>
      <w:sdtContent>
        <w:p w14:paraId="46F4AFB2" w14:textId="77777777" w:rsidR="00A62BD5" w:rsidRPr="00850D53" w:rsidRDefault="00A62BD5" w:rsidP="00250DE7">
          <w:pPr>
            <w:pStyle w:val="Inhaltsverzeichnisberschrift"/>
            <w:rPr>
              <w:caps/>
            </w:rPr>
          </w:pPr>
          <w:r w:rsidRPr="00850D53">
            <w:rPr>
              <w:caps/>
            </w:rPr>
            <w:t>Inhalt</w:t>
          </w:r>
        </w:p>
        <w:p w14:paraId="5CB58C35" w14:textId="072798B1" w:rsidR="008F3C3F" w:rsidRDefault="00EE4657">
          <w:pPr>
            <w:pStyle w:val="Verzeichnis1"/>
            <w:tabs>
              <w:tab w:val="right" w:leader="dot" w:pos="9736"/>
            </w:tabs>
            <w:rPr>
              <w:rFonts w:asciiTheme="minorHAnsi" w:eastAsiaTheme="minorEastAsia" w:hAnsiTheme="minorHAnsi"/>
              <w:noProof/>
              <w:sz w:val="22"/>
              <w:szCs w:val="22"/>
              <w:lang w:eastAsia="de-DE"/>
            </w:rPr>
          </w:pPr>
          <w:r>
            <w:fldChar w:fldCharType="begin"/>
          </w:r>
          <w:r>
            <w:instrText xml:space="preserve"> TOC \o "1-3" \h \z \u </w:instrText>
          </w:r>
          <w:r>
            <w:fldChar w:fldCharType="separate"/>
          </w:r>
          <w:hyperlink w:anchor="_Toc227246668" w:history="1">
            <w:r w:rsidR="008F3C3F" w:rsidRPr="00EC4AA5">
              <w:rPr>
                <w:rStyle w:val="Hyperlink"/>
                <w:caps/>
                <w:noProof/>
              </w:rPr>
              <w:t>Vorbemerkung</w:t>
            </w:r>
            <w:r w:rsidR="008F3C3F">
              <w:rPr>
                <w:noProof/>
                <w:webHidden/>
              </w:rPr>
              <w:tab/>
            </w:r>
            <w:r w:rsidR="008F3C3F">
              <w:rPr>
                <w:noProof/>
                <w:webHidden/>
              </w:rPr>
              <w:fldChar w:fldCharType="begin"/>
            </w:r>
            <w:r w:rsidR="008F3C3F">
              <w:rPr>
                <w:noProof/>
                <w:webHidden/>
              </w:rPr>
              <w:instrText xml:space="preserve"> PAGEREF _Toc227246668 \h </w:instrText>
            </w:r>
            <w:r w:rsidR="008F3C3F">
              <w:rPr>
                <w:noProof/>
                <w:webHidden/>
              </w:rPr>
            </w:r>
            <w:r w:rsidR="008F3C3F">
              <w:rPr>
                <w:noProof/>
                <w:webHidden/>
              </w:rPr>
              <w:fldChar w:fldCharType="separate"/>
            </w:r>
            <w:r w:rsidR="00F7241F">
              <w:rPr>
                <w:noProof/>
                <w:webHidden/>
              </w:rPr>
              <w:t>3</w:t>
            </w:r>
            <w:r w:rsidR="008F3C3F">
              <w:rPr>
                <w:noProof/>
                <w:webHidden/>
              </w:rPr>
              <w:fldChar w:fldCharType="end"/>
            </w:r>
          </w:hyperlink>
        </w:p>
        <w:p w14:paraId="3BD0A465" w14:textId="5C017F17" w:rsidR="008F3C3F" w:rsidRDefault="00F7241F">
          <w:pPr>
            <w:pStyle w:val="Verzeichnis1"/>
            <w:tabs>
              <w:tab w:val="right" w:leader="dot" w:pos="9736"/>
            </w:tabs>
            <w:rPr>
              <w:rFonts w:asciiTheme="minorHAnsi" w:eastAsiaTheme="minorEastAsia" w:hAnsiTheme="minorHAnsi"/>
              <w:noProof/>
              <w:sz w:val="22"/>
              <w:szCs w:val="22"/>
              <w:lang w:eastAsia="de-DE"/>
            </w:rPr>
          </w:pPr>
          <w:hyperlink w:anchor="_Toc227246669" w:history="1">
            <w:r w:rsidR="008F3C3F" w:rsidRPr="00EC4AA5">
              <w:rPr>
                <w:rStyle w:val="Hyperlink"/>
                <w:noProof/>
              </w:rPr>
              <w:t>ABFALLMANAGEMENT</w:t>
            </w:r>
            <w:r w:rsidR="008F3C3F">
              <w:rPr>
                <w:noProof/>
                <w:webHidden/>
              </w:rPr>
              <w:tab/>
            </w:r>
            <w:r w:rsidR="008F3C3F">
              <w:rPr>
                <w:noProof/>
                <w:webHidden/>
              </w:rPr>
              <w:fldChar w:fldCharType="begin"/>
            </w:r>
            <w:r w:rsidR="008F3C3F">
              <w:rPr>
                <w:noProof/>
                <w:webHidden/>
              </w:rPr>
              <w:instrText xml:space="preserve"> PAGEREF _Toc227246669 \h </w:instrText>
            </w:r>
            <w:r w:rsidR="008F3C3F">
              <w:rPr>
                <w:noProof/>
                <w:webHidden/>
              </w:rPr>
            </w:r>
            <w:r w:rsidR="008F3C3F">
              <w:rPr>
                <w:noProof/>
                <w:webHidden/>
              </w:rPr>
              <w:fldChar w:fldCharType="separate"/>
            </w:r>
            <w:r>
              <w:rPr>
                <w:noProof/>
                <w:webHidden/>
              </w:rPr>
              <w:t>4</w:t>
            </w:r>
            <w:r w:rsidR="008F3C3F">
              <w:rPr>
                <w:noProof/>
                <w:webHidden/>
              </w:rPr>
              <w:fldChar w:fldCharType="end"/>
            </w:r>
          </w:hyperlink>
        </w:p>
        <w:p w14:paraId="4E3F9A0C" w14:textId="75799459" w:rsidR="008F3C3F" w:rsidRDefault="00F7241F">
          <w:pPr>
            <w:pStyle w:val="Verzeichnis1"/>
            <w:tabs>
              <w:tab w:val="right" w:leader="dot" w:pos="9736"/>
            </w:tabs>
            <w:rPr>
              <w:rFonts w:asciiTheme="minorHAnsi" w:eastAsiaTheme="minorEastAsia" w:hAnsiTheme="minorHAnsi"/>
              <w:noProof/>
              <w:sz w:val="22"/>
              <w:szCs w:val="22"/>
              <w:lang w:eastAsia="de-DE"/>
            </w:rPr>
          </w:pPr>
          <w:hyperlink w:anchor="_Toc227246670" w:history="1">
            <w:r w:rsidR="008F3C3F" w:rsidRPr="00EC4AA5">
              <w:rPr>
                <w:rStyle w:val="Hyperlink"/>
                <w:noProof/>
              </w:rPr>
              <w:t>BESCHAFFUNG</w:t>
            </w:r>
            <w:r w:rsidR="008F3C3F">
              <w:rPr>
                <w:noProof/>
                <w:webHidden/>
              </w:rPr>
              <w:tab/>
            </w:r>
            <w:r w:rsidR="008F3C3F">
              <w:rPr>
                <w:noProof/>
                <w:webHidden/>
              </w:rPr>
              <w:fldChar w:fldCharType="begin"/>
            </w:r>
            <w:r w:rsidR="008F3C3F">
              <w:rPr>
                <w:noProof/>
                <w:webHidden/>
              </w:rPr>
              <w:instrText xml:space="preserve"> PAGEREF _Toc227246670 \h </w:instrText>
            </w:r>
            <w:r w:rsidR="008F3C3F">
              <w:rPr>
                <w:noProof/>
                <w:webHidden/>
              </w:rPr>
            </w:r>
            <w:r w:rsidR="008F3C3F">
              <w:rPr>
                <w:noProof/>
                <w:webHidden/>
              </w:rPr>
              <w:fldChar w:fldCharType="separate"/>
            </w:r>
            <w:r>
              <w:rPr>
                <w:noProof/>
                <w:webHidden/>
              </w:rPr>
              <w:t>5</w:t>
            </w:r>
            <w:r w:rsidR="008F3C3F">
              <w:rPr>
                <w:noProof/>
                <w:webHidden/>
              </w:rPr>
              <w:fldChar w:fldCharType="end"/>
            </w:r>
          </w:hyperlink>
        </w:p>
        <w:p w14:paraId="29491802" w14:textId="46F08E5D" w:rsidR="008F3C3F" w:rsidRDefault="00F7241F">
          <w:pPr>
            <w:pStyle w:val="Verzeichnis1"/>
            <w:tabs>
              <w:tab w:val="right" w:leader="dot" w:pos="9736"/>
            </w:tabs>
            <w:rPr>
              <w:rFonts w:asciiTheme="minorHAnsi" w:eastAsiaTheme="minorEastAsia" w:hAnsiTheme="minorHAnsi"/>
              <w:noProof/>
              <w:sz w:val="22"/>
              <w:szCs w:val="22"/>
              <w:lang w:eastAsia="de-DE"/>
            </w:rPr>
          </w:pPr>
          <w:hyperlink w:anchor="_Toc227246673" w:history="1">
            <w:r w:rsidR="008F3C3F" w:rsidRPr="00EC4AA5">
              <w:rPr>
                <w:rStyle w:val="Hyperlink"/>
                <w:caps/>
                <w:noProof/>
              </w:rPr>
              <w:t>Energieverbrauch</w:t>
            </w:r>
            <w:r w:rsidR="008F3C3F">
              <w:rPr>
                <w:noProof/>
                <w:webHidden/>
              </w:rPr>
              <w:tab/>
            </w:r>
            <w:r w:rsidR="008F3C3F">
              <w:rPr>
                <w:noProof/>
                <w:webHidden/>
              </w:rPr>
              <w:fldChar w:fldCharType="begin"/>
            </w:r>
            <w:r w:rsidR="008F3C3F">
              <w:rPr>
                <w:noProof/>
                <w:webHidden/>
              </w:rPr>
              <w:instrText xml:space="preserve"> PAGEREF _Toc227246673 \h </w:instrText>
            </w:r>
            <w:r w:rsidR="008F3C3F">
              <w:rPr>
                <w:noProof/>
                <w:webHidden/>
              </w:rPr>
            </w:r>
            <w:r w:rsidR="008F3C3F">
              <w:rPr>
                <w:noProof/>
                <w:webHidden/>
              </w:rPr>
              <w:fldChar w:fldCharType="separate"/>
            </w:r>
            <w:r>
              <w:rPr>
                <w:noProof/>
                <w:webHidden/>
              </w:rPr>
              <w:t>5</w:t>
            </w:r>
            <w:r w:rsidR="008F3C3F">
              <w:rPr>
                <w:noProof/>
                <w:webHidden/>
              </w:rPr>
              <w:fldChar w:fldCharType="end"/>
            </w:r>
          </w:hyperlink>
        </w:p>
        <w:p w14:paraId="522767A9" w14:textId="28BC4DB5" w:rsidR="008F3C3F" w:rsidRDefault="00F7241F">
          <w:pPr>
            <w:pStyle w:val="Verzeichnis1"/>
            <w:tabs>
              <w:tab w:val="right" w:leader="dot" w:pos="9736"/>
            </w:tabs>
            <w:rPr>
              <w:rFonts w:asciiTheme="minorHAnsi" w:eastAsiaTheme="minorEastAsia" w:hAnsiTheme="minorHAnsi"/>
              <w:noProof/>
              <w:sz w:val="22"/>
              <w:szCs w:val="22"/>
              <w:lang w:eastAsia="de-DE"/>
            </w:rPr>
          </w:pPr>
          <w:hyperlink w:anchor="_Toc227246679" w:history="1">
            <w:r w:rsidR="008F3C3F" w:rsidRPr="00EC4AA5">
              <w:rPr>
                <w:rStyle w:val="Hyperlink"/>
                <w:noProof/>
              </w:rPr>
              <w:t>IT</w:t>
            </w:r>
            <w:r w:rsidR="008F3C3F">
              <w:rPr>
                <w:noProof/>
                <w:webHidden/>
              </w:rPr>
              <w:tab/>
            </w:r>
            <w:r w:rsidR="008F3C3F">
              <w:rPr>
                <w:noProof/>
                <w:webHidden/>
              </w:rPr>
              <w:fldChar w:fldCharType="begin"/>
            </w:r>
            <w:r w:rsidR="008F3C3F">
              <w:rPr>
                <w:noProof/>
                <w:webHidden/>
              </w:rPr>
              <w:instrText xml:space="preserve"> PAGEREF _Toc227246679 \h </w:instrText>
            </w:r>
            <w:r w:rsidR="008F3C3F">
              <w:rPr>
                <w:noProof/>
                <w:webHidden/>
              </w:rPr>
            </w:r>
            <w:r w:rsidR="008F3C3F">
              <w:rPr>
                <w:noProof/>
                <w:webHidden/>
              </w:rPr>
              <w:fldChar w:fldCharType="separate"/>
            </w:r>
            <w:r>
              <w:rPr>
                <w:noProof/>
                <w:webHidden/>
              </w:rPr>
              <w:t>7</w:t>
            </w:r>
            <w:r w:rsidR="008F3C3F">
              <w:rPr>
                <w:noProof/>
                <w:webHidden/>
              </w:rPr>
              <w:fldChar w:fldCharType="end"/>
            </w:r>
          </w:hyperlink>
        </w:p>
        <w:p w14:paraId="13F1870E" w14:textId="595F3943" w:rsidR="008F3C3F" w:rsidRDefault="00F7241F">
          <w:pPr>
            <w:pStyle w:val="Verzeichnis1"/>
            <w:tabs>
              <w:tab w:val="right" w:leader="dot" w:pos="9736"/>
            </w:tabs>
            <w:rPr>
              <w:rFonts w:asciiTheme="minorHAnsi" w:eastAsiaTheme="minorEastAsia" w:hAnsiTheme="minorHAnsi"/>
              <w:noProof/>
              <w:sz w:val="22"/>
              <w:szCs w:val="22"/>
              <w:lang w:eastAsia="de-DE"/>
            </w:rPr>
          </w:pPr>
          <w:hyperlink w:anchor="_Toc227246684" w:history="1">
            <w:r w:rsidR="008F3C3F" w:rsidRPr="00EC4AA5">
              <w:rPr>
                <w:rStyle w:val="Hyperlink"/>
                <w:caps/>
                <w:noProof/>
              </w:rPr>
              <w:t>Grüne Chemie</w:t>
            </w:r>
            <w:r w:rsidR="008F3C3F">
              <w:rPr>
                <w:noProof/>
                <w:webHidden/>
              </w:rPr>
              <w:tab/>
            </w:r>
            <w:r w:rsidR="008F3C3F">
              <w:rPr>
                <w:noProof/>
                <w:webHidden/>
              </w:rPr>
              <w:fldChar w:fldCharType="begin"/>
            </w:r>
            <w:r w:rsidR="008F3C3F">
              <w:rPr>
                <w:noProof/>
                <w:webHidden/>
              </w:rPr>
              <w:instrText xml:space="preserve"> PAGEREF _Toc227246684 \h </w:instrText>
            </w:r>
            <w:r w:rsidR="008F3C3F">
              <w:rPr>
                <w:noProof/>
                <w:webHidden/>
              </w:rPr>
            </w:r>
            <w:r w:rsidR="008F3C3F">
              <w:rPr>
                <w:noProof/>
                <w:webHidden/>
              </w:rPr>
              <w:fldChar w:fldCharType="separate"/>
            </w:r>
            <w:r>
              <w:rPr>
                <w:noProof/>
                <w:webHidden/>
              </w:rPr>
              <w:t>8</w:t>
            </w:r>
            <w:r w:rsidR="008F3C3F">
              <w:rPr>
                <w:noProof/>
                <w:webHidden/>
              </w:rPr>
              <w:fldChar w:fldCharType="end"/>
            </w:r>
          </w:hyperlink>
        </w:p>
        <w:p w14:paraId="7DE48E42" w14:textId="5B5F857D" w:rsidR="008F3C3F" w:rsidRDefault="00F7241F">
          <w:pPr>
            <w:pStyle w:val="Verzeichnis1"/>
            <w:tabs>
              <w:tab w:val="right" w:leader="dot" w:pos="9736"/>
            </w:tabs>
            <w:rPr>
              <w:rFonts w:asciiTheme="minorHAnsi" w:eastAsiaTheme="minorEastAsia" w:hAnsiTheme="minorHAnsi"/>
              <w:noProof/>
              <w:sz w:val="22"/>
              <w:szCs w:val="22"/>
              <w:lang w:eastAsia="de-DE"/>
            </w:rPr>
          </w:pPr>
          <w:hyperlink w:anchor="_Toc227246687" w:history="1">
            <w:r w:rsidR="008F3C3F" w:rsidRPr="00EC4AA5">
              <w:rPr>
                <w:rStyle w:val="Hyperlink"/>
                <w:caps/>
                <w:noProof/>
              </w:rPr>
              <w:t>Forschungsmethodik und –design</w:t>
            </w:r>
            <w:r w:rsidR="008F3C3F">
              <w:rPr>
                <w:noProof/>
                <w:webHidden/>
              </w:rPr>
              <w:tab/>
            </w:r>
            <w:r w:rsidR="008F3C3F">
              <w:rPr>
                <w:noProof/>
                <w:webHidden/>
              </w:rPr>
              <w:fldChar w:fldCharType="begin"/>
            </w:r>
            <w:r w:rsidR="008F3C3F">
              <w:rPr>
                <w:noProof/>
                <w:webHidden/>
              </w:rPr>
              <w:instrText xml:space="preserve"> PAGEREF _Toc227246687 \h </w:instrText>
            </w:r>
            <w:r w:rsidR="008F3C3F">
              <w:rPr>
                <w:noProof/>
                <w:webHidden/>
              </w:rPr>
            </w:r>
            <w:r w:rsidR="008F3C3F">
              <w:rPr>
                <w:noProof/>
                <w:webHidden/>
              </w:rPr>
              <w:fldChar w:fldCharType="separate"/>
            </w:r>
            <w:r>
              <w:rPr>
                <w:noProof/>
                <w:webHidden/>
              </w:rPr>
              <w:t>9</w:t>
            </w:r>
            <w:r w:rsidR="008F3C3F">
              <w:rPr>
                <w:noProof/>
                <w:webHidden/>
              </w:rPr>
              <w:fldChar w:fldCharType="end"/>
            </w:r>
          </w:hyperlink>
        </w:p>
        <w:p w14:paraId="25F465C6" w14:textId="26D1F4E9" w:rsidR="008F3C3F" w:rsidRDefault="00F7241F">
          <w:pPr>
            <w:pStyle w:val="Verzeichnis1"/>
            <w:tabs>
              <w:tab w:val="right" w:leader="dot" w:pos="9736"/>
            </w:tabs>
            <w:rPr>
              <w:rFonts w:asciiTheme="minorHAnsi" w:eastAsiaTheme="minorEastAsia" w:hAnsiTheme="minorHAnsi"/>
              <w:noProof/>
              <w:sz w:val="22"/>
              <w:szCs w:val="22"/>
              <w:lang w:eastAsia="de-DE"/>
            </w:rPr>
          </w:pPr>
          <w:hyperlink w:anchor="_Toc227246690" w:history="1">
            <w:r w:rsidR="008F3C3F" w:rsidRPr="00EC4AA5">
              <w:rPr>
                <w:rStyle w:val="Hyperlink"/>
                <w:caps/>
                <w:noProof/>
              </w:rPr>
              <w:t>Weitergabe von Informationen</w:t>
            </w:r>
            <w:r w:rsidR="008F3C3F">
              <w:rPr>
                <w:noProof/>
                <w:webHidden/>
              </w:rPr>
              <w:tab/>
            </w:r>
            <w:r w:rsidR="008F3C3F">
              <w:rPr>
                <w:noProof/>
                <w:webHidden/>
              </w:rPr>
              <w:fldChar w:fldCharType="begin"/>
            </w:r>
            <w:r w:rsidR="008F3C3F">
              <w:rPr>
                <w:noProof/>
                <w:webHidden/>
              </w:rPr>
              <w:instrText xml:space="preserve"> PAGEREF _Toc227246690 \h </w:instrText>
            </w:r>
            <w:r w:rsidR="008F3C3F">
              <w:rPr>
                <w:noProof/>
                <w:webHidden/>
              </w:rPr>
            </w:r>
            <w:r w:rsidR="008F3C3F">
              <w:rPr>
                <w:noProof/>
                <w:webHidden/>
              </w:rPr>
              <w:fldChar w:fldCharType="separate"/>
            </w:r>
            <w:r>
              <w:rPr>
                <w:noProof/>
                <w:webHidden/>
              </w:rPr>
              <w:t>9</w:t>
            </w:r>
            <w:r w:rsidR="008F3C3F">
              <w:rPr>
                <w:noProof/>
                <w:webHidden/>
              </w:rPr>
              <w:fldChar w:fldCharType="end"/>
            </w:r>
          </w:hyperlink>
        </w:p>
        <w:p w14:paraId="2BF1345F" w14:textId="190D000D" w:rsidR="008F3C3F" w:rsidRDefault="00F7241F">
          <w:pPr>
            <w:pStyle w:val="Verzeichnis1"/>
            <w:tabs>
              <w:tab w:val="right" w:leader="dot" w:pos="9736"/>
            </w:tabs>
            <w:rPr>
              <w:rFonts w:asciiTheme="minorHAnsi" w:eastAsiaTheme="minorEastAsia" w:hAnsiTheme="minorHAnsi"/>
              <w:noProof/>
              <w:sz w:val="22"/>
              <w:szCs w:val="22"/>
              <w:lang w:eastAsia="de-DE"/>
            </w:rPr>
          </w:pPr>
          <w:hyperlink w:anchor="_Toc227246691" w:history="1">
            <w:r w:rsidR="008F3C3F" w:rsidRPr="00EC4AA5">
              <w:rPr>
                <w:rStyle w:val="Hyperlink"/>
                <w:caps/>
                <w:noProof/>
              </w:rPr>
              <w:t>Checkliste Green Lab M</w:t>
            </w:r>
            <w:r w:rsidR="008F3C3F">
              <w:rPr>
                <w:rStyle w:val="Hyperlink"/>
                <w:caps/>
                <w:noProof/>
              </w:rPr>
              <w:t xml:space="preserve">Edizinische </w:t>
            </w:r>
            <w:r w:rsidR="008F3C3F" w:rsidRPr="00EC4AA5">
              <w:rPr>
                <w:rStyle w:val="Hyperlink"/>
                <w:caps/>
                <w:noProof/>
              </w:rPr>
              <w:t>F</w:t>
            </w:r>
            <w:r w:rsidR="008F3C3F">
              <w:rPr>
                <w:rStyle w:val="Hyperlink"/>
                <w:caps/>
                <w:noProof/>
              </w:rPr>
              <w:t>Akultät</w:t>
            </w:r>
            <w:r w:rsidR="008F3C3F">
              <w:rPr>
                <w:noProof/>
                <w:webHidden/>
              </w:rPr>
              <w:tab/>
            </w:r>
            <w:r w:rsidR="008F3C3F">
              <w:rPr>
                <w:noProof/>
                <w:webHidden/>
              </w:rPr>
              <w:fldChar w:fldCharType="begin"/>
            </w:r>
            <w:r w:rsidR="008F3C3F">
              <w:rPr>
                <w:noProof/>
                <w:webHidden/>
              </w:rPr>
              <w:instrText xml:space="preserve"> PAGEREF _Toc227246691 \h </w:instrText>
            </w:r>
            <w:r w:rsidR="008F3C3F">
              <w:rPr>
                <w:noProof/>
                <w:webHidden/>
              </w:rPr>
            </w:r>
            <w:r w:rsidR="008F3C3F">
              <w:rPr>
                <w:noProof/>
                <w:webHidden/>
              </w:rPr>
              <w:fldChar w:fldCharType="separate"/>
            </w:r>
            <w:r>
              <w:rPr>
                <w:noProof/>
                <w:webHidden/>
              </w:rPr>
              <w:t>11</w:t>
            </w:r>
            <w:r w:rsidR="008F3C3F">
              <w:rPr>
                <w:noProof/>
                <w:webHidden/>
              </w:rPr>
              <w:fldChar w:fldCharType="end"/>
            </w:r>
          </w:hyperlink>
        </w:p>
        <w:p w14:paraId="31C127AD" w14:textId="62732AD9" w:rsidR="008F3C3F" w:rsidRDefault="00F7241F">
          <w:pPr>
            <w:pStyle w:val="Verzeichnis1"/>
            <w:tabs>
              <w:tab w:val="right" w:leader="dot" w:pos="9736"/>
            </w:tabs>
            <w:rPr>
              <w:rFonts w:asciiTheme="minorHAnsi" w:eastAsiaTheme="minorEastAsia" w:hAnsiTheme="minorHAnsi"/>
              <w:noProof/>
              <w:sz w:val="22"/>
              <w:szCs w:val="22"/>
              <w:lang w:eastAsia="de-DE"/>
            </w:rPr>
          </w:pPr>
          <w:hyperlink w:anchor="_Toc227246700" w:history="1">
            <w:r w:rsidR="008F3C3F" w:rsidRPr="00EC4AA5">
              <w:rPr>
                <w:rStyle w:val="Hyperlink"/>
                <w:caps/>
                <w:noProof/>
                <w:lang w:val="en-GB"/>
              </w:rPr>
              <w:t>Quellen</w:t>
            </w:r>
            <w:r w:rsidR="008F3C3F">
              <w:rPr>
                <w:noProof/>
                <w:webHidden/>
              </w:rPr>
              <w:tab/>
            </w:r>
            <w:r w:rsidR="008F3C3F">
              <w:rPr>
                <w:noProof/>
                <w:webHidden/>
              </w:rPr>
              <w:fldChar w:fldCharType="begin"/>
            </w:r>
            <w:r w:rsidR="008F3C3F">
              <w:rPr>
                <w:noProof/>
                <w:webHidden/>
              </w:rPr>
              <w:instrText xml:space="preserve"> PAGEREF _Toc227246700 \h </w:instrText>
            </w:r>
            <w:r w:rsidR="008F3C3F">
              <w:rPr>
                <w:noProof/>
                <w:webHidden/>
              </w:rPr>
            </w:r>
            <w:r w:rsidR="008F3C3F">
              <w:rPr>
                <w:noProof/>
                <w:webHidden/>
              </w:rPr>
              <w:fldChar w:fldCharType="separate"/>
            </w:r>
            <w:r>
              <w:rPr>
                <w:noProof/>
                <w:webHidden/>
              </w:rPr>
              <w:t>15</w:t>
            </w:r>
            <w:r w:rsidR="008F3C3F">
              <w:rPr>
                <w:noProof/>
                <w:webHidden/>
              </w:rPr>
              <w:fldChar w:fldCharType="end"/>
            </w:r>
          </w:hyperlink>
        </w:p>
        <w:p w14:paraId="7A15D383" w14:textId="77ADAC3D" w:rsidR="00254C61" w:rsidRPr="00254C61" w:rsidRDefault="00EE4657" w:rsidP="00165F5B">
          <w:pPr>
            <w:sectPr w:rsidR="00254C61" w:rsidRPr="00254C61" w:rsidSect="00572A13">
              <w:type w:val="continuous"/>
              <w:pgSz w:w="11906" w:h="16838" w:code="9"/>
              <w:pgMar w:top="1440" w:right="1080" w:bottom="1440" w:left="1080" w:header="1021" w:footer="799" w:gutter="0"/>
              <w:pgNumType w:start="1"/>
              <w:cols w:space="340"/>
              <w:titlePg/>
              <w:docGrid w:linePitch="360"/>
            </w:sectPr>
          </w:pPr>
          <w:r>
            <w:rPr>
              <w:sz w:val="24"/>
            </w:rPr>
            <w:fldChar w:fldCharType="end"/>
          </w:r>
        </w:p>
      </w:sdtContent>
    </w:sdt>
    <w:p w14:paraId="32603AA2" w14:textId="77777777" w:rsidR="000C0D5E" w:rsidRPr="008F3C3F" w:rsidRDefault="000C0D5E" w:rsidP="00F76CE9">
      <w:pPr>
        <w:pStyle w:val="berschrift1"/>
        <w:rPr>
          <w:caps/>
        </w:rPr>
      </w:pPr>
      <w:bookmarkStart w:id="1" w:name="_Toc197421675"/>
      <w:bookmarkStart w:id="2" w:name="_Toc209166314"/>
      <w:bookmarkStart w:id="3" w:name="_Toc227246668"/>
      <w:r w:rsidRPr="008F3C3F">
        <w:rPr>
          <w:caps/>
        </w:rPr>
        <w:t>Vorbemerkung</w:t>
      </w:r>
      <w:bookmarkEnd w:id="1"/>
      <w:bookmarkEnd w:id="2"/>
      <w:bookmarkEnd w:id="3"/>
    </w:p>
    <w:p w14:paraId="30B61E03" w14:textId="77777777" w:rsidR="000C0D5E" w:rsidRDefault="000C0D5E" w:rsidP="00F76CE9">
      <w:r w:rsidRPr="00954189">
        <w:t xml:space="preserve">Labore sind sowohl für die Forschung als auch für die Ausbildung von essentieller Bedeutung, da sie der Dreh- und Angelpunkt für Innovationen und neue Erkenntnisse sind. In Bildungseinrichtungen können die Studierenden hier praktische Erfahrungen sammeln und theoretisches Wissen in realen Szenarien anwenden. Für Forschende sind Labore unerlässlich für die Durchführung von Experimenten, die Entwicklung neuer Technologien und die interdisziplinäre Weiterentwicklung wissenschaftlicher Erkenntnisse. Darüber hinaus fördern sie eine gemeinsame Umgebung, in der Studierende, Lehrkräfte und Forschende zusammenarbeiten können. </w:t>
      </w:r>
    </w:p>
    <w:p w14:paraId="55AA25AA" w14:textId="77777777" w:rsidR="000C0D5E" w:rsidRDefault="000C0D5E" w:rsidP="000C0D5E">
      <w:pPr>
        <w:pStyle w:val="pFlietextText"/>
      </w:pPr>
      <w:r w:rsidRPr="00954189">
        <w:t>Labore haben einen hohen Ressourcenbedarf. Ein Labor verbraucht im Vergleich zu Büroflächen etwa zehnmal mehr Energie und viermal mehr Wasser.</w:t>
      </w:r>
      <w:r w:rsidRPr="0058523A">
        <w:rPr>
          <w:vertAlign w:val="superscript"/>
        </w:rPr>
        <w:t>1</w:t>
      </w:r>
      <w:r w:rsidRPr="00954189">
        <w:t xml:space="preserve"> Eine Studie ergab, dass Labore im Jahr 2014 weltweit etwa 5,5 Millionen Tonnen Plastikmüll produzierten.</w:t>
      </w:r>
      <w:r w:rsidRPr="0058523A">
        <w:rPr>
          <w:vertAlign w:val="superscript"/>
        </w:rPr>
        <w:t>2</w:t>
      </w:r>
      <w:r w:rsidRPr="00954189">
        <w:t xml:space="preserve"> Ein Tiefkühlschrank, dessen Temperatur auf -80°C eingestellt ist, benötigt genauso viel Energie wie ein Einfamilienhaus. Dieser Ressourcenbedarf hat erheblic</w:t>
      </w:r>
      <w:r>
        <w:t>he Auswirkungen auf die Umwelt.</w:t>
      </w:r>
    </w:p>
    <w:p w14:paraId="7B73DD05" w14:textId="77777777" w:rsidR="000C0D5E" w:rsidRDefault="000C0D5E" w:rsidP="000C0D5E">
      <w:pPr>
        <w:pStyle w:val="pFlietextText"/>
      </w:pPr>
      <w:r w:rsidRPr="00954189">
        <w:t>Nachhaltigkeits- und Umweltfragen werden daher bei der Beantragung von Forschungsgeldern immer wichtiger. Die Deutsche Forschungsgemeinschaft (DFG) beispielsweise hat die Umweltauswirkungen akademischer Forschung anerkannt und Empfehlungen zu Nachhaltigkeit im Forschungsprozess herausgegeben. Antragsteller müssen im Rahmen des Prüfungsverfahrens eine Erklärung</w:t>
      </w:r>
      <w:r>
        <w:t xml:space="preserve"> zur Nachhaltigkeit einreichen.</w:t>
      </w:r>
    </w:p>
    <w:p w14:paraId="26F30918" w14:textId="77777777" w:rsidR="000C0D5E" w:rsidRPr="00954189" w:rsidRDefault="000C0D5E" w:rsidP="000C0D5E">
      <w:pPr>
        <w:pStyle w:val="pFlietextText"/>
      </w:pPr>
      <w:r w:rsidRPr="00954189">
        <w:t>Dieser Leitfaden enthält praktische Anleitungen, mit denen Sie in Ihrem Labor und darüber hinaus umweltfreundlicher arbeiten können.</w:t>
      </w:r>
      <w:bookmarkStart w:id="4" w:name="_Toc184641583"/>
      <w:r>
        <w:t xml:space="preserve"> </w:t>
      </w:r>
      <w:r w:rsidRPr="00954189">
        <w:t xml:space="preserve">Der Green Lab Guide enthält Informationen, Empfehlungen und eine Checkliste für die folgenden Schlüsselbereiche: </w:t>
      </w:r>
    </w:p>
    <w:p w14:paraId="54B0B65C" w14:textId="77777777" w:rsidR="000C0D5E" w:rsidRPr="00954189" w:rsidRDefault="000C0D5E" w:rsidP="000C0D5E">
      <w:pPr>
        <w:pStyle w:val="pListeAnstrichText"/>
      </w:pPr>
      <w:r w:rsidRPr="00954189">
        <w:t>Abfallmanagement</w:t>
      </w:r>
    </w:p>
    <w:p w14:paraId="1A50BCB1" w14:textId="77777777" w:rsidR="000C0D5E" w:rsidRPr="00954189" w:rsidRDefault="000C0D5E" w:rsidP="000C0D5E">
      <w:pPr>
        <w:pStyle w:val="pListeAnstrichText"/>
      </w:pPr>
      <w:r w:rsidRPr="00954189">
        <w:t xml:space="preserve">Beschaffung </w:t>
      </w:r>
    </w:p>
    <w:p w14:paraId="2663A0E7" w14:textId="77777777" w:rsidR="000C0D5E" w:rsidRPr="00954189" w:rsidRDefault="000C0D5E" w:rsidP="000C0D5E">
      <w:pPr>
        <w:pStyle w:val="pListeAnstrichText"/>
      </w:pPr>
      <w:r w:rsidRPr="00954189">
        <w:t>Energieverbrauch</w:t>
      </w:r>
    </w:p>
    <w:p w14:paraId="57208626" w14:textId="77777777" w:rsidR="000C0D5E" w:rsidRPr="00954189" w:rsidRDefault="000C0D5E" w:rsidP="000C0D5E">
      <w:pPr>
        <w:pStyle w:val="pListeAnstrichText"/>
      </w:pPr>
      <w:r w:rsidRPr="00954189">
        <w:t xml:space="preserve">IT </w:t>
      </w:r>
    </w:p>
    <w:p w14:paraId="15C73D8B" w14:textId="77777777" w:rsidR="000C0D5E" w:rsidRPr="00954189" w:rsidRDefault="000C0D5E" w:rsidP="000C0D5E">
      <w:pPr>
        <w:pStyle w:val="pListeAnstrichText"/>
      </w:pPr>
      <w:r w:rsidRPr="00954189">
        <w:t xml:space="preserve">Grüne Chemie </w:t>
      </w:r>
    </w:p>
    <w:p w14:paraId="1790B9E4" w14:textId="77777777" w:rsidR="000C0D5E" w:rsidRPr="00954189" w:rsidRDefault="000C0D5E" w:rsidP="000C0D5E">
      <w:pPr>
        <w:pStyle w:val="pListeAnstrichText"/>
      </w:pPr>
      <w:r w:rsidRPr="00954189">
        <w:t>Forschungsmethodik und -design</w:t>
      </w:r>
    </w:p>
    <w:p w14:paraId="263822BE" w14:textId="77777777" w:rsidR="000C0D5E" w:rsidRDefault="000C0D5E" w:rsidP="000C0D5E">
      <w:pPr>
        <w:pStyle w:val="pListeAnstrichText"/>
      </w:pPr>
      <w:r w:rsidRPr="00954189">
        <w:t>Weitergabe von Informationen</w:t>
      </w:r>
    </w:p>
    <w:p w14:paraId="52998E5E" w14:textId="77777777" w:rsidR="000C0D5E" w:rsidRPr="00954189" w:rsidRDefault="000C0D5E" w:rsidP="000C0D5E">
      <w:pPr>
        <w:pStyle w:val="pFlietextText"/>
      </w:pPr>
      <w:r w:rsidRPr="00954189">
        <w:t xml:space="preserve">Das Befolgen dieser Empfehlungen sollte den Energie- und Wasserverbrauch reduzieren, ohne dass dadurch die Qualität oder die Ergebnisse der Forschung beeinträchtigt werden. Da nicht alle Labore dieselben Materialien verwenden, sollten Sie die Empfehlungen dieses Leitfadens an Ihre spezifischen Gegebenheiten anpassen. </w:t>
      </w:r>
    </w:p>
    <w:p w14:paraId="67F78097" w14:textId="77777777" w:rsidR="000C0D5E" w:rsidRPr="00954189" w:rsidRDefault="000C0D5E" w:rsidP="000C0D5E">
      <w:r w:rsidRPr="00954189">
        <w:t xml:space="preserve">Der Green Lab Guide wird fortlaufend aktualisiert. Wir sind stets auf der Suche nach weiteren Themen und Best-Practice-Beispielen. Wenn Sie einen Beitrag hinzufügen möchten, wenden Sie sich bitte an </w:t>
      </w:r>
      <w:hyperlink r:id="rId13" w:history="1">
        <w:r w:rsidRPr="00954189">
          <w:rPr>
            <w:rStyle w:val="Hyperlink"/>
          </w:rPr>
          <w:t>umweltschutz@tu-dresden.de</w:t>
        </w:r>
      </w:hyperlink>
      <w:r w:rsidRPr="00954189">
        <w:t xml:space="preserve">. </w:t>
      </w:r>
    </w:p>
    <w:p w14:paraId="1D0D15E5" w14:textId="77777777" w:rsidR="004B4DAB" w:rsidRDefault="004B4DAB">
      <w:pPr>
        <w:spacing w:after="160" w:line="276" w:lineRule="auto"/>
        <w:jc w:val="left"/>
        <w:rPr>
          <w:rFonts w:asciiTheme="majorHAnsi" w:eastAsiaTheme="majorEastAsia" w:hAnsiTheme="majorHAnsi" w:cs="Open Sans SemiBold"/>
          <w:sz w:val="44"/>
          <w:szCs w:val="36"/>
        </w:rPr>
      </w:pPr>
      <w:bookmarkStart w:id="5" w:name="_Toc209166315"/>
      <w:bookmarkEnd w:id="4"/>
      <w:r>
        <w:br w:type="page"/>
      </w:r>
    </w:p>
    <w:p w14:paraId="1A0DC165" w14:textId="77777777" w:rsidR="000C0D5E" w:rsidRPr="003B1BD3" w:rsidRDefault="00DB1947" w:rsidP="00F120E1">
      <w:pPr>
        <w:pStyle w:val="berschrift1"/>
      </w:pPr>
      <w:bookmarkStart w:id="6" w:name="_Toc227246669"/>
      <w:bookmarkEnd w:id="5"/>
      <w:r w:rsidRPr="003B1BD3">
        <w:t>ABFALLMANAGEMENT</w:t>
      </w:r>
      <w:bookmarkEnd w:id="6"/>
    </w:p>
    <w:p w14:paraId="1CC0F2F2" w14:textId="77777777" w:rsidR="00F120E1" w:rsidRPr="00854BFE" w:rsidRDefault="00F120E1" w:rsidP="006A1028">
      <w:pPr>
        <w:rPr>
          <w:rStyle w:val="wpaicg-chat-message"/>
        </w:rPr>
      </w:pPr>
      <w:r w:rsidRPr="00854BFE">
        <w:rPr>
          <w:rStyle w:val="wpaicg-chat-message"/>
        </w:rPr>
        <w:t>Eine effektive Abfallwirtschaft verringert die Umweltbelastung, entlastet Deponien, erhöht die Sicherheit des Laborpersonals und gewährleistet die Einhaltung gesetzlicher Vorgaben. Die ordnungsgemäße Trennung von kontaminierten und nicht kontaminierten Abfällen, die Vermeidung von Einwegkunststoffen sowie die Förderung der Wiederverwendung sind wichtige Strategien, um Abfall zu reduzieren und Ressourcen einzusparen.</w:t>
      </w:r>
    </w:p>
    <w:p w14:paraId="3134EAAF" w14:textId="0E8BE904" w:rsidR="00A36DAD" w:rsidRDefault="00A36DAD" w:rsidP="00F76CE9">
      <w:pPr>
        <w:pStyle w:val="pFlietextText"/>
        <w:rPr>
          <w:rStyle w:val="wpaicg-chat-message"/>
        </w:rPr>
      </w:pPr>
      <w:r>
        <w:rPr>
          <w:rStyle w:val="wpaicg-chat-message"/>
        </w:rPr>
        <w:t>Zu den typischen Abfallquellen in Laboren zählen Einwegkunststoffe, große Mengen Verpackungsabfällen sowie Altpapier und Kartonagen</w:t>
      </w:r>
      <w:r w:rsidR="00FB4130">
        <w:rPr>
          <w:rStyle w:val="wpaicg-chat-message"/>
        </w:rPr>
        <w:t xml:space="preserve">. </w:t>
      </w:r>
      <w:r>
        <w:rPr>
          <w:rStyle w:val="wpaicg-chat-message"/>
        </w:rPr>
        <w:t>Um Abfall zu vermeiden, sollten Labore bevorzugt Gläser und Glasbehälter statt Kunststoff verwenden. Regelmäßige Abfallanalysen helfen dabei, Art und Menge der anfallenden Abfälle zu erfassen und Verbesserungsmöglichkeiten aufzuzeigen. Durch Kategorisierung und Analyse der Abfälle können Labore Trends erkennen und Maßnahmen zur Abfallreduzierung sowie ein verbessertes Abfallmanagement ableiten.</w:t>
      </w:r>
    </w:p>
    <w:p w14:paraId="561BFAF6" w14:textId="77777777" w:rsidR="000C0D5E" w:rsidRDefault="00A36DAD" w:rsidP="00F76CE9">
      <w:pPr>
        <w:pStyle w:val="pFlietextText"/>
      </w:pPr>
      <w:r>
        <w:rPr>
          <w:rStyle w:val="wpaicg-chat-message"/>
        </w:rPr>
        <w:t xml:space="preserve">Eine aktuelle Bestandsführung von Verbrauchsmaterialien verhindert unnötige Mehrkäufe und reduziert Abfall, da nur tatsächlich benötigte Materialien gekauft und verwendet werden. </w:t>
      </w:r>
      <w:r w:rsidR="000C0D5E" w:rsidRPr="00954189">
        <w:t xml:space="preserve">Aktualisieren Sie Listen regelmäßig (Excel, </w:t>
      </w:r>
      <w:proofErr w:type="spellStart"/>
      <w:r w:rsidR="000C0D5E" w:rsidRPr="00954189">
        <w:t>LabUtils</w:t>
      </w:r>
      <w:proofErr w:type="spellEnd"/>
      <w:r w:rsidR="000C0D5E" w:rsidRPr="00954189">
        <w:t xml:space="preserve">, </w:t>
      </w:r>
      <w:proofErr w:type="spellStart"/>
      <w:r w:rsidR="000C0D5E" w:rsidRPr="00954189">
        <w:t>GoeChem</w:t>
      </w:r>
      <w:proofErr w:type="spellEnd"/>
      <w:r w:rsidR="000C0D5E" w:rsidRPr="00954189">
        <w:t xml:space="preserve">), nutzen Sie digitale Tracking-Systeme zur Echtzeit-Bestandsüberwachung und führen Sie eine „First-in-First-out“-Richtlinie ein, um das Verfallen von Materialien und deren unnötige Entsorgung zu vermeiden. </w:t>
      </w:r>
    </w:p>
    <w:p w14:paraId="0A77A2D6" w14:textId="1E1CC3A0" w:rsidR="000C0D5E" w:rsidRPr="00954189" w:rsidRDefault="000C0D5E" w:rsidP="00F76CE9">
      <w:pPr>
        <w:pStyle w:val="pFlietextText"/>
      </w:pPr>
      <w:r w:rsidRPr="00954189">
        <w:t>Für die Ausstattung von Büroarbeitsplätzen führt das UKD einen Möbelkiosk (</w:t>
      </w:r>
      <w:hyperlink r:id="rId14" w:history="1">
        <w:r w:rsidRPr="0058523A">
          <w:rPr>
            <w:rStyle w:val="Hyperlink"/>
          </w:rPr>
          <w:t>https://carusnet.med.tu-dresden.de/Service/Verwertung/moebelkiosk</w:t>
        </w:r>
      </w:hyperlink>
      <w:r w:rsidRPr="00954189">
        <w:t>). In diesem können gebrauchte nicht mehr benötigte Möbe</w:t>
      </w:r>
      <w:r w:rsidR="00FB4130">
        <w:t xml:space="preserve">l und Büroausstattung abgegeben </w:t>
      </w:r>
      <w:r w:rsidRPr="00954189">
        <w:t>oder auch Möbel für die eigene Verwendung abgerufen werden.</w:t>
      </w:r>
    </w:p>
    <w:p w14:paraId="2AAE9BB3" w14:textId="20282D38" w:rsidR="000C0D5E" w:rsidRPr="00954189" w:rsidRDefault="000C0D5E" w:rsidP="00F76CE9">
      <w:pPr>
        <w:pStyle w:val="pFlietextText"/>
      </w:pPr>
      <w:r w:rsidRPr="00954189">
        <w:t xml:space="preserve">Die Abfallentsorgung an der MF erfolgt nach den Vorgaben des UKD-Abfallwegweiser wonach Abfälle nach Abfallart getrennt werden. Die sichere Entsorgung von gefährlichen Abfällen wie Chemikalien, genetisch veränderten Organismen und medizinischen Abfällen ist aufgrund der damit verbundenen erhöhten Kosten und Risiken für Gesundheit und Umwelt von entscheidender Bedeutung. Durch Sterilisation in einem Autoklav werden Mikroorganismen abgetötet und </w:t>
      </w:r>
      <w:r w:rsidR="00BB4948">
        <w:t>die damit</w:t>
      </w:r>
      <w:r w:rsidRPr="00954189">
        <w:t xml:space="preserve"> verbundenen Risiken minimiert. Die Sterilisation erfolgt durch den Einsatz von Dampf, Feuchtigkeit, Hitze (mindestens 121°C) und Druck (105 kPa für mindestens eine Stunde). Im Vergleich zur Verbrennung reduziert das Autoklavieren die Luftverschmutzung und ist effizienter.</w:t>
      </w:r>
      <w:r w:rsidRPr="0058523A">
        <w:rPr>
          <w:vertAlign w:val="superscript"/>
        </w:rPr>
        <w:t>3</w:t>
      </w:r>
      <w:r w:rsidRPr="00954189">
        <w:t xml:space="preserve"> Für bestimmte Abfallarten ist das Autoklavieren vorgeschrieben. </w:t>
      </w:r>
    </w:p>
    <w:p w14:paraId="0797DF19" w14:textId="431218FD" w:rsidR="000C0D5E" w:rsidRPr="00954189" w:rsidRDefault="00BB4948" w:rsidP="00F76CE9">
      <w:pPr>
        <w:pStyle w:val="pFlietextText"/>
      </w:pPr>
      <w:r>
        <w:t xml:space="preserve">Gefährliche, wassergefährdende </w:t>
      </w:r>
      <w:r w:rsidR="000C0D5E" w:rsidRPr="00954189">
        <w:t xml:space="preserve">Chemikalien dürfen nicht im Abfluss entsorgt werden. </w:t>
      </w:r>
      <w:r>
        <w:t>Für d</w:t>
      </w:r>
      <w:r w:rsidR="000C0D5E" w:rsidRPr="00954189">
        <w:t xml:space="preserve">ie ordnungsgemäße Entsorgung von </w:t>
      </w:r>
      <w:r>
        <w:t>Altc</w:t>
      </w:r>
      <w:r w:rsidR="000C0D5E" w:rsidRPr="00954189">
        <w:t xml:space="preserve">hemikalien </w:t>
      </w:r>
      <w:r>
        <w:t xml:space="preserve">ist die entsprechende Kennzeichnung der </w:t>
      </w:r>
      <w:r w:rsidR="000C0D5E" w:rsidRPr="00954189">
        <w:t>Behälter (mit Angabe des Inhalts oder des früheren Inhalts)</w:t>
      </w:r>
      <w:r>
        <w:t xml:space="preserve"> notwendig. Hierfür können Etiketten bei der Krankenhausökologie angefordert werden</w:t>
      </w:r>
      <w:r w:rsidR="000C0D5E" w:rsidRPr="00954189">
        <w:t>. Aufgrund der hohen Kosten für die Entsorgung von gefährlichen Abfällen sollten ungefährliche Abfälle nicht mit gefährlichen Abfällen vermischt werden.</w:t>
      </w:r>
    </w:p>
    <w:p w14:paraId="685676FB" w14:textId="77777777" w:rsidR="00F76CE9" w:rsidRDefault="000C0D5E" w:rsidP="00F76CE9">
      <w:pPr>
        <w:pStyle w:val="pFlietextText"/>
      </w:pPr>
      <w:r w:rsidRPr="00954189">
        <w:t>Für eine Beratung zur Abfallentsorgung steht das Te</w:t>
      </w:r>
      <w:r w:rsidR="0058523A">
        <w:t>am der Krankenhausökologie, insb. d</w:t>
      </w:r>
      <w:r w:rsidRPr="00954189">
        <w:t>ie Betriebsbeauftragte für Abfall des UKD gern jederzeit beratend zur Verfügung.</w:t>
      </w:r>
    </w:p>
    <w:p w14:paraId="581F5E2A" w14:textId="77777777" w:rsidR="00F76CE9" w:rsidRDefault="00F76CE9">
      <w:pPr>
        <w:spacing w:after="160" w:line="276" w:lineRule="auto"/>
        <w:jc w:val="left"/>
        <w:rPr>
          <w:rFonts w:cs="Noto Sans"/>
          <w:color w:val="000000"/>
        </w:rPr>
      </w:pPr>
      <w:r>
        <w:br w:type="page"/>
      </w:r>
    </w:p>
    <w:p w14:paraId="466C4913" w14:textId="77777777" w:rsidR="000C0D5E" w:rsidRPr="00DB1947" w:rsidRDefault="00DB1947" w:rsidP="003B1BD3">
      <w:pPr>
        <w:pStyle w:val="berschrift1"/>
      </w:pPr>
      <w:bookmarkStart w:id="7" w:name="_Pick_your_colour!"/>
      <w:bookmarkStart w:id="8" w:name="_Pick_your_colour!_1"/>
      <w:bookmarkStart w:id="9" w:name="_Toc227246670"/>
      <w:bookmarkEnd w:id="7"/>
      <w:bookmarkEnd w:id="8"/>
      <w:r>
        <w:t>BESCHAFFUNG</w:t>
      </w:r>
      <w:bookmarkEnd w:id="9"/>
    </w:p>
    <w:p w14:paraId="433C333F" w14:textId="77777777" w:rsidR="000C0D5E" w:rsidRPr="00854BFE" w:rsidRDefault="000C0D5E" w:rsidP="00F76CE9">
      <w:pPr>
        <w:pStyle w:val="pFlietextText"/>
        <w:rPr>
          <w:color w:val="auto"/>
        </w:rPr>
      </w:pPr>
      <w:r w:rsidRPr="00854BFE">
        <w:rPr>
          <w:color w:val="auto"/>
        </w:rPr>
        <w:t>Eine nachhaltige Beschaffung wählt Produkte und Dienstleistungen anhand ökologischer Ziele aus. Bei der Entscheidung zwischen verschiedenen Produkten werden Unternehmen bevorzugt, die nachhaltig produzieren, lokale Unternehmen, um die CO</w:t>
      </w:r>
      <w:r w:rsidRPr="00854BFE">
        <w:rPr>
          <w:color w:val="auto"/>
          <w:vertAlign w:val="subscript"/>
        </w:rPr>
        <w:t>2</w:t>
      </w:r>
      <w:r w:rsidRPr="00854BFE">
        <w:rPr>
          <w:color w:val="auto"/>
        </w:rPr>
        <w:t xml:space="preserve">-Emissionen durch den Transport zu reduzieren, sowie Unternehmen, die Produkte herstellen, die wenig Abfall verursachen oder aus recycelbaren Materialien bestehen. </w:t>
      </w:r>
      <w:proofErr w:type="spellStart"/>
      <w:r w:rsidRPr="00854BFE">
        <w:rPr>
          <w:color w:val="auto"/>
        </w:rPr>
        <w:t>Pipettenspitzen</w:t>
      </w:r>
      <w:proofErr w:type="spellEnd"/>
      <w:r w:rsidRPr="00854BFE">
        <w:rPr>
          <w:color w:val="auto"/>
        </w:rPr>
        <w:t xml:space="preserve"> können beispielsweise in Großpackungen bestellt und dann in Boxen umgefüllt werden.</w:t>
      </w:r>
    </w:p>
    <w:p w14:paraId="7786CD74" w14:textId="77777777" w:rsidR="000C0D5E" w:rsidRPr="00954189" w:rsidRDefault="000C0D5E" w:rsidP="00F76CE9">
      <w:pPr>
        <w:pStyle w:val="berschrift2"/>
      </w:pPr>
      <w:bookmarkStart w:id="10" w:name="_Toc174712259"/>
      <w:bookmarkStart w:id="11" w:name="_Toc174711677"/>
      <w:bookmarkStart w:id="12" w:name="_Toc184641604"/>
      <w:bookmarkStart w:id="13" w:name="_Toc194648634"/>
      <w:bookmarkStart w:id="14" w:name="_Toc197421681"/>
      <w:bookmarkStart w:id="15" w:name="_Toc209166317"/>
      <w:bookmarkStart w:id="16" w:name="_Toc209171402"/>
      <w:bookmarkStart w:id="17" w:name="_Toc227245933"/>
      <w:bookmarkStart w:id="18" w:name="_Toc227246671"/>
      <w:bookmarkEnd w:id="10"/>
      <w:bookmarkEnd w:id="11"/>
      <w:r w:rsidRPr="00954189">
        <w:t>Strategischer Einkauf</w:t>
      </w:r>
      <w:bookmarkEnd w:id="12"/>
      <w:bookmarkEnd w:id="13"/>
      <w:bookmarkEnd w:id="14"/>
      <w:bookmarkEnd w:id="15"/>
      <w:bookmarkEnd w:id="16"/>
      <w:bookmarkEnd w:id="17"/>
      <w:bookmarkEnd w:id="18"/>
    </w:p>
    <w:p w14:paraId="0984C59E" w14:textId="77777777" w:rsidR="000C0D5E" w:rsidRPr="00954189" w:rsidRDefault="000C0D5E" w:rsidP="00F76CE9">
      <w:pPr>
        <w:pStyle w:val="pFlietextText"/>
      </w:pPr>
      <w:r w:rsidRPr="00954189">
        <w:t xml:space="preserve">Ein sorgfältig geplanter Einkauf spart Geld und reduziert Abfall und Energieverbrauch. Fassen Sie mehrere Produkte eines Lieferanten zu einer Bestellung zusammen, um die Kosten und den ökologischen Fußabdruck durch den Versand zu reduzieren. Durch den gebündelten Kauf und Versand von Artikeln, die mit Trockeneis versandt werden, lassen sich erhebliche Einsparungen erzielen. Führen Sie Bestandslisten, um versehentliche Mehrfachkäufe zu vermeiden. Wenn Sie feststellen, dass Produkte abgelaufen sind, sollten Sie diese zukünftig in geringeren Mengen einkaufen. Produkte mit kürzerer Lebensdauer sind zwar zunächst vielleicht kostengünstiger, müssen aber schnell ersetzt werden. Dadurch steigen die Gesamtkosten und es entsteht zusätzlicher Abfall. </w:t>
      </w:r>
    </w:p>
    <w:p w14:paraId="459DF638" w14:textId="77777777" w:rsidR="000C0D5E" w:rsidRPr="00954189" w:rsidRDefault="000C0D5E" w:rsidP="00F76CE9">
      <w:pPr>
        <w:pStyle w:val="berschrift2"/>
      </w:pPr>
      <w:bookmarkStart w:id="19" w:name="_Toc194648635"/>
      <w:bookmarkStart w:id="20" w:name="_Toc197421682"/>
      <w:bookmarkStart w:id="21" w:name="_Toc209166318"/>
      <w:bookmarkStart w:id="22" w:name="_Toc209171403"/>
      <w:bookmarkStart w:id="23" w:name="_Toc227245934"/>
      <w:bookmarkStart w:id="24" w:name="_Toc227246672"/>
      <w:r w:rsidRPr="00954189">
        <w:t>Zertifikate</w:t>
      </w:r>
      <w:bookmarkEnd w:id="19"/>
      <w:bookmarkEnd w:id="20"/>
      <w:bookmarkEnd w:id="21"/>
      <w:bookmarkEnd w:id="22"/>
      <w:bookmarkEnd w:id="23"/>
      <w:bookmarkEnd w:id="24"/>
    </w:p>
    <w:p w14:paraId="57FBA88B" w14:textId="77777777" w:rsidR="000C0D5E" w:rsidRDefault="000C0D5E" w:rsidP="00F76CE9">
      <w:pPr>
        <w:pStyle w:val="pFlietextText"/>
      </w:pPr>
      <w:bookmarkStart w:id="25" w:name="_Toc174712261"/>
      <w:bookmarkStart w:id="26" w:name="_Toc174711679"/>
      <w:r w:rsidRPr="00954189">
        <w:t xml:space="preserve">Anhand von Energieeffizienzklassen und -kennzeichnungen können Sie beurteilen, ob ein Gerät umweltfreundlich ist. Die EU-Energieeffizienzklassen für Geräte werden mit den Buchstaben A bis G bewertet, wobei A die energieeffizienteste Klasse ist. Auch wenn die Reparatur alter Geräte Abfall reduziert, kann die Anschaffung neuer Geräte unter Umständen die Energiekosten erheblich senken. Deutschland vergibt das Umweltzeichen „Blauer Engel“ für besonders umweltfreundliche Produkte und Dienstleistungen. Das EU </w:t>
      </w:r>
      <w:proofErr w:type="spellStart"/>
      <w:r w:rsidRPr="00954189">
        <w:t>Ecolabel</w:t>
      </w:r>
      <w:proofErr w:type="spellEnd"/>
      <w:r w:rsidRPr="00954189">
        <w:t xml:space="preserve"> ist das entsprechende Umweltzeichen der Europäischen Union. </w:t>
      </w:r>
      <w:bookmarkEnd w:id="25"/>
      <w:bookmarkEnd w:id="26"/>
    </w:p>
    <w:p w14:paraId="6C7DD368" w14:textId="77777777" w:rsidR="0092352F" w:rsidRPr="00954189" w:rsidRDefault="0092352F" w:rsidP="00F76CE9">
      <w:pPr>
        <w:pStyle w:val="pFlietextText"/>
      </w:pPr>
    </w:p>
    <w:p w14:paraId="322420BD" w14:textId="77777777" w:rsidR="000C0D5E" w:rsidRPr="00515149" w:rsidRDefault="000C0D5E" w:rsidP="00DB1947">
      <w:pPr>
        <w:pStyle w:val="berschrift1"/>
        <w:rPr>
          <w:caps/>
        </w:rPr>
      </w:pPr>
      <w:bookmarkStart w:id="27" w:name="_Toc197421684"/>
      <w:bookmarkStart w:id="28" w:name="_Toc209166319"/>
      <w:bookmarkStart w:id="29" w:name="_Toc227246673"/>
      <w:r w:rsidRPr="00515149">
        <w:rPr>
          <w:caps/>
        </w:rPr>
        <w:t>Energieverbrauch</w:t>
      </w:r>
      <w:bookmarkEnd w:id="27"/>
      <w:bookmarkEnd w:id="28"/>
      <w:bookmarkEnd w:id="29"/>
    </w:p>
    <w:p w14:paraId="2F08B220" w14:textId="77777777" w:rsidR="003B1BD3" w:rsidRPr="00854BFE" w:rsidRDefault="003B1BD3" w:rsidP="003B1BD3">
      <w:pPr>
        <w:pStyle w:val="pFlietextText"/>
        <w:rPr>
          <w:color w:val="auto"/>
        </w:rPr>
      </w:pPr>
      <w:bookmarkStart w:id="30" w:name="_Toc194648638"/>
      <w:bookmarkStart w:id="31" w:name="_Toc197421685"/>
      <w:bookmarkStart w:id="32" w:name="_Toc209166320"/>
      <w:bookmarkStart w:id="33" w:name="_Toc209171405"/>
      <w:r w:rsidRPr="00854BFE">
        <w:rPr>
          <w:color w:val="auto"/>
        </w:rPr>
        <w:t>In Laboren verbrauchen Lüftungs- und Absauganlagen sowie elektrische Geräte drei- bis fünfmal mehr Energie als in Büros. Daher ist es wichtig, den Energieverbrauch zu senken und Maßnahmen zur Steigerung der Energieeffizienz zu ergreifen. Durch die Identifizierung von Ineffizienzen wie veralteten Geräten oder unnötigem Verbrauch außerhalb der Betriebszeiten können Labore Ressourcen schonen, ihre Umweltbelastung minimieren und ihre Betriebskosten senken.</w:t>
      </w:r>
    </w:p>
    <w:p w14:paraId="7BA649B1" w14:textId="7BA2CE6C" w:rsidR="000C0D5E" w:rsidRPr="00954189" w:rsidRDefault="000C0D5E" w:rsidP="003B1BD3">
      <w:pPr>
        <w:pStyle w:val="berschrift2"/>
      </w:pPr>
      <w:bookmarkStart w:id="34" w:name="_Toc227245936"/>
      <w:bookmarkStart w:id="35" w:name="_Toc227246674"/>
      <w:r w:rsidRPr="00954189">
        <w:t>Beleuchtung</w:t>
      </w:r>
      <w:bookmarkEnd w:id="30"/>
      <w:bookmarkEnd w:id="31"/>
      <w:bookmarkEnd w:id="32"/>
      <w:bookmarkEnd w:id="33"/>
      <w:bookmarkEnd w:id="34"/>
      <w:bookmarkEnd w:id="35"/>
    </w:p>
    <w:p w14:paraId="356603DD" w14:textId="77777777" w:rsidR="000C0D5E" w:rsidRPr="00954189" w:rsidRDefault="000C0D5E" w:rsidP="00F76CE9">
      <w:pPr>
        <w:pStyle w:val="pFlietextText"/>
      </w:pPr>
      <w:r w:rsidRPr="00954189">
        <w:t>Die Beleuchtung macht 15% des gesamten Stromverbrauchs im Labor aus.</w:t>
      </w:r>
      <w:r w:rsidRPr="003B1BD3">
        <w:rPr>
          <w:vertAlign w:val="superscript"/>
        </w:rPr>
        <w:fldChar w:fldCharType="begin"/>
      </w:r>
      <w:r w:rsidRPr="003B1BD3">
        <w:rPr>
          <w:vertAlign w:val="superscript"/>
        </w:rPr>
        <w:instrText>ADDIN ZOTERO_ITEM CSL_CITATION {"citationID":"5OzJQsZT","properties":{"formattedCitation":"\\super 3\\nosupersub{}","plainCitation":"3","noteIndex":0},"citationItems":[{"id":2211,"uris":["http://zotero.org/users/14005536/items/QI6IJGQU"],"itemData":{"id":2211,"type":"webpage","abstract":"Did you know that laboratories are one of the largest energy-consuming sectors in the country? In fact, after data centers, labs are widely recognized as consuming more energy per square foot than...","container-title":"My Green Lab","language":"en","title":"Top 9 Actions To Take in the Lab to Improve Energy Efficiency","URL":"http://www.mygreenlab.org/2/post/2021/01/top-9-actions-to-take-in-the-lab-to-improve-energy-efficiency.html","accessed":{"date-parts":[["2024",5,19]]}}}],"schema":"https://github.com/citation-style-language/schema/raw/master/csl-citation.json"}</w:instrText>
      </w:r>
      <w:r w:rsidRPr="003B1BD3">
        <w:rPr>
          <w:vertAlign w:val="superscript"/>
        </w:rPr>
        <w:fldChar w:fldCharType="separate"/>
      </w:r>
      <w:r w:rsidRPr="003B1BD3">
        <w:rPr>
          <w:vertAlign w:val="superscript"/>
        </w:rPr>
        <w:t>3</w:t>
      </w:r>
      <w:r w:rsidRPr="003B1BD3">
        <w:rPr>
          <w:vertAlign w:val="superscript"/>
        </w:rPr>
        <w:fldChar w:fldCharType="end"/>
      </w:r>
      <w:r w:rsidRPr="003B1BD3">
        <w:rPr>
          <w:vertAlign w:val="superscript"/>
        </w:rPr>
        <w:t xml:space="preserve"> </w:t>
      </w:r>
      <w:r w:rsidRPr="00954189">
        <w:t xml:space="preserve">Das ist etwa doppelt so viel wie in Büroräumen. Nutzen Sie Tageslicht als primäre Lichtquelle und ergänzen Sie es durch elektrische Beleuchtung. Arbeitsplatzbeleuchtung ist so ausgelegt, dass sie bestimmte Arbeiten besonders effektiv ausleuchtet. Dies ist energieeffizienter als eine allgemeine Deckenbeleuchtung. Achten Sie darauf, </w:t>
      </w:r>
      <w:proofErr w:type="gramStart"/>
      <w:r w:rsidRPr="00954189">
        <w:t>das</w:t>
      </w:r>
      <w:proofErr w:type="gramEnd"/>
      <w:r w:rsidRPr="00954189">
        <w:t xml:space="preserve"> Licht auszuschalten, wenn Sie einen Bereich verlassen.</w:t>
      </w:r>
    </w:p>
    <w:p w14:paraId="25AEF2CE" w14:textId="77777777" w:rsidR="000C0D5E" w:rsidRPr="00954189" w:rsidRDefault="000C0D5E" w:rsidP="00F76CE9">
      <w:pPr>
        <w:pStyle w:val="berschrift2"/>
      </w:pPr>
      <w:bookmarkStart w:id="36" w:name="_Toc194648639"/>
      <w:bookmarkStart w:id="37" w:name="_Toc197421686"/>
      <w:bookmarkStart w:id="38" w:name="_Toc209166321"/>
      <w:bookmarkStart w:id="39" w:name="_Toc209171406"/>
      <w:bookmarkStart w:id="40" w:name="_Toc227245937"/>
      <w:bookmarkStart w:id="41" w:name="_Toc227246675"/>
      <w:r w:rsidRPr="00954189">
        <w:t>Abzugshauben und biologische Sicherheitswerkbänke</w:t>
      </w:r>
      <w:bookmarkEnd w:id="36"/>
      <w:bookmarkEnd w:id="37"/>
      <w:bookmarkEnd w:id="38"/>
      <w:bookmarkEnd w:id="39"/>
      <w:bookmarkEnd w:id="40"/>
      <w:bookmarkEnd w:id="41"/>
    </w:p>
    <w:p w14:paraId="43A5812F" w14:textId="5EAB7CB4" w:rsidR="000C0D5E" w:rsidRPr="00954189" w:rsidRDefault="000C0D5E" w:rsidP="00F76CE9">
      <w:pPr>
        <w:pStyle w:val="pFlietextText"/>
      </w:pPr>
      <w:r w:rsidRPr="00954189">
        <w:t>Abzugshauben und biologische Sicherheitswerkbänke benötigen für den Betrieb viel Energie. Ein</w:t>
      </w:r>
      <w:r w:rsidR="00BB4948">
        <w:t>e</w:t>
      </w:r>
      <w:r w:rsidRPr="00954189">
        <w:t xml:space="preserve"> einzige Abzugshaube verbraucht fast so viel Energie wie 3,5 Haushalte.</w:t>
      </w:r>
      <w:r w:rsidR="00BB4948">
        <w:rPr>
          <w:vertAlign w:val="superscript"/>
        </w:rPr>
        <w:t>4</w:t>
      </w:r>
      <w:r w:rsidRPr="00954189">
        <w:t xml:space="preserve"> Abzugshauben verwenden leistungsstarke Ventilatoren, um klimatisierte Luft von vorne in die Haube zu saugen und nach außen abzugeben. Halten Sie den Frontschieber der Haube geschlossen, es sei denn, Sie führen Versuche innerhalb der Sicherheitswerkbänke durch. Durch das Schließen des Frontschiebers wird die aus dem Raum angesaugte Luftmenge reduziert und das Laborpersonal vor Chemikalien und gefährlichen Stoffen im Abzug geschützt. Allerdings sollte Energieeinsparung nicht auf Kosten der Sicherheit gehen. </w:t>
      </w:r>
    </w:p>
    <w:p w14:paraId="3F59B254" w14:textId="77777777" w:rsidR="000C0D5E" w:rsidRPr="00954189" w:rsidRDefault="000C0D5E" w:rsidP="00F76CE9">
      <w:pPr>
        <w:pStyle w:val="berschrift2"/>
      </w:pPr>
      <w:bookmarkStart w:id="42" w:name="_Toc184641610"/>
      <w:bookmarkStart w:id="43" w:name="_Toc194648640"/>
      <w:bookmarkStart w:id="44" w:name="_Toc197421687"/>
      <w:bookmarkStart w:id="45" w:name="_Toc209166322"/>
      <w:bookmarkStart w:id="46" w:name="_Toc209171407"/>
      <w:bookmarkStart w:id="47" w:name="_Toc227245938"/>
      <w:bookmarkStart w:id="48" w:name="_Toc227246676"/>
      <w:r w:rsidRPr="00954189">
        <w:t>Kühllagerung</w:t>
      </w:r>
      <w:bookmarkEnd w:id="42"/>
      <w:bookmarkEnd w:id="43"/>
      <w:bookmarkEnd w:id="44"/>
      <w:bookmarkEnd w:id="45"/>
      <w:bookmarkEnd w:id="46"/>
      <w:bookmarkEnd w:id="47"/>
      <w:bookmarkEnd w:id="48"/>
    </w:p>
    <w:p w14:paraId="6F1B1A94" w14:textId="584650A0" w:rsidR="000C0D5E" w:rsidRPr="00954189" w:rsidRDefault="000C0D5E" w:rsidP="00F76CE9">
      <w:pPr>
        <w:pStyle w:val="pFlietextText"/>
      </w:pPr>
      <w:r w:rsidRPr="00954189">
        <w:t>Ultratiefkühlschränke arbeiten normalerweise bei -40°C oder -80°C und verursachen damit den größten Energieverbrauch in einem Labor.</w:t>
      </w:r>
      <w:r w:rsidR="006A1028">
        <w:rPr>
          <w:vertAlign w:val="superscript"/>
        </w:rPr>
        <w:t>5</w:t>
      </w:r>
      <w:r w:rsidRPr="00954189">
        <w:t xml:space="preserve"> Diese Gefrierschränke, insbesondere ältere Modelle, verbrauchen etwa 25</w:t>
      </w:r>
      <w:r w:rsidRPr="00954189">
        <w:noBreakHyphen/>
        <w:t>30 kWh Energie pro Tag. Eine Änderung von -80°C auf -70°C senkt den Stromverbrauch um 30%.</w:t>
      </w:r>
      <w:r w:rsidR="0011233E">
        <w:rPr>
          <w:vertAlign w:val="superscript"/>
        </w:rPr>
        <w:t>3</w:t>
      </w:r>
      <w:r w:rsidRPr="00954189">
        <w:t xml:space="preserve"> Diese Änderung hat in der Regel keinen Einfluss auf die Qualität oder die Lebensfähigkeit biologischer Proben. </w:t>
      </w:r>
    </w:p>
    <w:p w14:paraId="7DD78657" w14:textId="77777777" w:rsidR="000C0D5E" w:rsidRPr="00954189" w:rsidRDefault="000C0D5E" w:rsidP="00F76CE9">
      <w:pPr>
        <w:pStyle w:val="pFlietextText"/>
      </w:pPr>
      <w:r w:rsidRPr="00954189">
        <w:t>Um den Bedarf an weiteren Gefrierschränken zu reduzieren, sollten Sie regelmäßig die gelagerten Materialien überprüfen und nicht mehr benötigte Reagenzien oder Proben aussortieren. Beachten Sie jedoch, dass ein voller Gefrierschrank effizienter arbeitet als ein fast leerer. Durch Ordnung im Gefrierschrank wird die Zeit reduziert, in der die Tür offensteht.</w:t>
      </w:r>
    </w:p>
    <w:p w14:paraId="5049AB12" w14:textId="77777777" w:rsidR="000C0D5E" w:rsidRPr="00954189" w:rsidRDefault="000C0D5E" w:rsidP="00F76CE9">
      <w:pPr>
        <w:pStyle w:val="pFlietextText"/>
      </w:pPr>
      <w:r w:rsidRPr="00954189">
        <w:t xml:space="preserve">Eisbildung schränkt den Platz im Gefrierschrank ein und beeinträchtigt dessen Effizienz. Außerdem führt Staubansammlung an den Spiralen der äußeren Rückwand dazu, dass der Gefrierschrank mehr Leistung aufbringen muss, um eine stabile Temperatur zu halten. Regelmäßige Reinigung der Spiralen und Abtauen des Gefrierschranks verbessern die Energieeffizienz und verlängern gleichzeitig die Lebensdauer des Geräts. </w:t>
      </w:r>
    </w:p>
    <w:p w14:paraId="3534A7EF" w14:textId="77777777" w:rsidR="000C0D5E" w:rsidRPr="00954189" w:rsidRDefault="000C0D5E" w:rsidP="00F76CE9">
      <w:pPr>
        <w:pStyle w:val="berschrift2"/>
      </w:pPr>
      <w:bookmarkStart w:id="49" w:name="_Toc194648641"/>
      <w:bookmarkStart w:id="50" w:name="_Toc197421688"/>
      <w:bookmarkStart w:id="51" w:name="_Toc209166323"/>
      <w:bookmarkStart w:id="52" w:name="_Toc209171408"/>
      <w:bookmarkStart w:id="53" w:name="_Toc227245939"/>
      <w:bookmarkStart w:id="54" w:name="_Toc227246677"/>
      <w:r w:rsidRPr="00954189">
        <w:t>Sonstige elektrische Geräte</w:t>
      </w:r>
      <w:bookmarkEnd w:id="49"/>
      <w:bookmarkEnd w:id="50"/>
      <w:bookmarkEnd w:id="51"/>
      <w:bookmarkEnd w:id="52"/>
      <w:bookmarkEnd w:id="53"/>
      <w:bookmarkEnd w:id="54"/>
    </w:p>
    <w:p w14:paraId="401B3FDC" w14:textId="77777777" w:rsidR="000C0D5E" w:rsidRPr="00954189" w:rsidRDefault="000C0D5E" w:rsidP="00F76CE9">
      <w:pPr>
        <w:pStyle w:val="pFlietextText"/>
      </w:pPr>
      <w:r w:rsidRPr="00954189">
        <w:t xml:space="preserve">Die Verwendung von Geräten wie Öfen, Heizblöcken und Zentrifugen erfordert das Erreichen einer bestimmten Temperatur, die oft innerhalb von 20 bis 40 Minuten erreicht werden kann. Die Aufrechterhaltung dieser Temperatur verbraucht jedoch eine erhebliche Menge an Energie. Schalten Sie die Geräte erst ein, wenn Sie sie benutzen wollen. </w:t>
      </w:r>
    </w:p>
    <w:p w14:paraId="706DB210" w14:textId="350F0930" w:rsidR="000C0D5E" w:rsidRPr="00954189" w:rsidRDefault="000C0D5E" w:rsidP="00F76CE9">
      <w:pPr>
        <w:pStyle w:val="pFlietextText"/>
      </w:pPr>
      <w:r w:rsidRPr="00954189">
        <w:t>Durch das Ausschalten der Geräte bei Nichtgebrauch kann eine Person in der Forschung bis zu 10 kWh/Tag einsparen.</w:t>
      </w:r>
      <w:r w:rsidR="0011233E">
        <w:rPr>
          <w:vertAlign w:val="superscript"/>
        </w:rPr>
        <w:t>5</w:t>
      </w:r>
      <w:r w:rsidRPr="00954189">
        <w:t xml:space="preserve"> Alternativ können Sie einen energiesparenden Standby-Modus verwenden, wenn die Geräte nicht in Gebrauch sind.</w:t>
      </w:r>
    </w:p>
    <w:p w14:paraId="3B54F32B" w14:textId="77777777" w:rsidR="000C0D5E" w:rsidRPr="00954189" w:rsidRDefault="000C0D5E" w:rsidP="00F76CE9">
      <w:pPr>
        <w:pStyle w:val="berschrift2"/>
      </w:pPr>
      <w:bookmarkStart w:id="55" w:name="_Toc184641612"/>
      <w:bookmarkStart w:id="56" w:name="_Toc194648642"/>
      <w:bookmarkStart w:id="57" w:name="_Toc197421689"/>
      <w:bookmarkStart w:id="58" w:name="_Toc209166324"/>
      <w:bookmarkStart w:id="59" w:name="_Toc209171409"/>
      <w:bookmarkStart w:id="60" w:name="_Toc227245940"/>
      <w:bookmarkStart w:id="61" w:name="_Toc227246678"/>
      <w:r w:rsidRPr="00954189">
        <w:t>Effizienz von Autoklaven</w:t>
      </w:r>
      <w:bookmarkEnd w:id="55"/>
      <w:bookmarkEnd w:id="56"/>
      <w:bookmarkEnd w:id="57"/>
      <w:bookmarkEnd w:id="58"/>
      <w:bookmarkEnd w:id="59"/>
      <w:bookmarkEnd w:id="60"/>
      <w:bookmarkEnd w:id="61"/>
    </w:p>
    <w:p w14:paraId="45018D11" w14:textId="13CE98E7" w:rsidR="000C0D5E" w:rsidRPr="00954189" w:rsidRDefault="000C0D5E" w:rsidP="00F76CE9">
      <w:pPr>
        <w:pStyle w:val="pFlietextText"/>
      </w:pPr>
      <w:r w:rsidRPr="00954189">
        <w:t>Die gängigste, zuverlässigste und kostengünstigste Methode zum Sterilisieren ist die Verwendung von Dampf oder Druck. Allerdings ist das Autoklavieren sehr energie- und wasserintensiv.</w:t>
      </w:r>
      <w:r w:rsidR="0011233E">
        <w:rPr>
          <w:vertAlign w:val="superscript"/>
        </w:rPr>
        <w:t xml:space="preserve">6 </w:t>
      </w:r>
      <w:r w:rsidRPr="00954189">
        <w:t>Prüfen Sie sorgfältig, ob ein bestimmter Gegenstand autoklaviert werden muss. Führen Sie einen Zyklus nur durch, wenn das Gerät voll ist.</w:t>
      </w:r>
    </w:p>
    <w:p w14:paraId="678D93D9" w14:textId="77777777" w:rsidR="000C0D5E" w:rsidRPr="00DB1947" w:rsidRDefault="000C0D5E" w:rsidP="00DB1947">
      <w:pPr>
        <w:pStyle w:val="berschrift1"/>
      </w:pPr>
      <w:bookmarkStart w:id="62" w:name="_Toc184641613"/>
      <w:bookmarkStart w:id="63" w:name="_Toc197421690"/>
      <w:bookmarkStart w:id="64" w:name="_Toc209166325"/>
      <w:bookmarkStart w:id="65" w:name="_Toc227246679"/>
      <w:r w:rsidRPr="00DB1947">
        <w:t>IT</w:t>
      </w:r>
      <w:bookmarkEnd w:id="62"/>
      <w:bookmarkEnd w:id="63"/>
      <w:bookmarkEnd w:id="64"/>
      <w:bookmarkEnd w:id="65"/>
    </w:p>
    <w:p w14:paraId="3D6DE165" w14:textId="36F50FC7" w:rsidR="000C0D5E" w:rsidRPr="00854BFE" w:rsidRDefault="000C0D5E" w:rsidP="00F76CE9">
      <w:pPr>
        <w:pStyle w:val="pFlietextText"/>
        <w:rPr>
          <w:color w:val="auto"/>
        </w:rPr>
      </w:pPr>
      <w:r w:rsidRPr="00854BFE">
        <w:rPr>
          <w:color w:val="auto"/>
        </w:rPr>
        <w:t>Computersimulationen und mathematische Modelle können bestimmte Experimente ersetzen und so den Materialverbrauch reduzieren. Allerdings trägt die Nutzung von IT zum CO</w:t>
      </w:r>
      <w:r w:rsidR="0011233E" w:rsidRPr="00854BFE">
        <w:rPr>
          <w:color w:val="auto"/>
          <w:vertAlign w:val="subscript"/>
        </w:rPr>
        <w:t>2</w:t>
      </w:r>
      <w:r w:rsidRPr="00854BFE">
        <w:rPr>
          <w:color w:val="auto"/>
        </w:rPr>
        <w:t>-Fußabdruck bei</w:t>
      </w:r>
      <w:r w:rsidR="00DB1947" w:rsidRPr="00854BFE">
        <w:rPr>
          <w:color w:val="auto"/>
        </w:rPr>
        <w:t xml:space="preserve">. </w:t>
      </w:r>
      <w:r w:rsidRPr="00854BFE">
        <w:rPr>
          <w:color w:val="auto"/>
          <w:vertAlign w:val="superscript"/>
        </w:rPr>
        <w:fldChar w:fldCharType="begin"/>
      </w:r>
      <w:r w:rsidRPr="00854BFE">
        <w:rPr>
          <w:color w:val="auto"/>
          <w:vertAlign w:val="superscript"/>
        </w:rPr>
        <w:instrText>ADDIN ZOTERO_ITEM CSL_CITATION {"citationID":"RB3MUJ96","properties":{"formattedCitation":"\\super 8,9\\nosupersub{}","plainCitation":"8,9","noteIndex":0},"citationItems":[{"id":1831,"uris":["http://zotero.org/users/14005536/items/2KC636C5"],"itemData":{"id":1831,"type":"post-weblog","abstract":"While switching to digital working formats can be harnessed to increase sustainability, the digital world and dry lab work tools can still contribute a huge CO</w:instrText>
      </w:r>
      <w:r w:rsidRPr="00854BFE">
        <w:rPr>
          <w:rFonts w:ascii="Cambria Math" w:hAnsi="Cambria Math" w:cs="Cambria Math"/>
          <w:color w:val="auto"/>
          <w:vertAlign w:val="superscript"/>
        </w:rPr>
        <w:instrText>₂</w:instrText>
      </w:r>
      <w:r w:rsidRPr="00854BFE">
        <w:rPr>
          <w:color w:val="auto"/>
          <w:vertAlign w:val="superscript"/>
        </w:rPr>
        <w:instrText xml:space="preserve"> footprint, in terms of energy consumption or minerals needed for equipment production. From using power save mode instead of screen savers and sending an email with links to files","language":"en-US","title":"Dry Lab - SELs Network","URL":"https://sels-network.org/index.php/sels-resources/dry-lab/","accessed":{"date-parts":[["2024",4,27]]},"issued":{"date-parts":[["2022",9,12]]}}},{"id":2114,"uris":["http://zotero.org/users/14005536/items/8UTARIWR"],"itemData":{"id":2114,"type":"post-weblog","language":"en-GB","title":"Dry – Green Labs – NL","URL":"https://www.greenlabs-nl.eu/dry/","accessed":{"date-parts":[["2024",5,5]]}}}],"schema":"https://github.com/citation-style-language/schema/raw/master/csl-citation.json"}</w:instrText>
      </w:r>
      <w:r w:rsidRPr="00854BFE">
        <w:rPr>
          <w:color w:val="auto"/>
          <w:vertAlign w:val="superscript"/>
        </w:rPr>
        <w:fldChar w:fldCharType="separate"/>
      </w:r>
      <w:r w:rsidRPr="00854BFE">
        <w:rPr>
          <w:color w:val="auto"/>
          <w:vertAlign w:val="superscript"/>
        </w:rPr>
        <w:t>7,8</w:t>
      </w:r>
      <w:r w:rsidRPr="00854BFE">
        <w:rPr>
          <w:color w:val="auto"/>
          <w:vertAlign w:val="superscript"/>
        </w:rPr>
        <w:fldChar w:fldCharType="end"/>
      </w:r>
      <w:r w:rsidRPr="00854BFE">
        <w:rPr>
          <w:color w:val="auto"/>
          <w:vertAlign w:val="superscript"/>
        </w:rPr>
        <w:t xml:space="preserve"> </w:t>
      </w:r>
      <w:r w:rsidRPr="00854BFE">
        <w:rPr>
          <w:color w:val="auto"/>
        </w:rPr>
        <w:t>Schätzungen zufolge war der IT-Sektor im Jahr 2020 für etwa 2 bis 6% der weltweiten CO</w:t>
      </w:r>
      <w:r w:rsidR="0011233E" w:rsidRPr="00854BFE">
        <w:rPr>
          <w:color w:val="auto"/>
          <w:vertAlign w:val="subscript"/>
        </w:rPr>
        <w:t>2</w:t>
      </w:r>
      <w:r w:rsidRPr="00854BFE">
        <w:rPr>
          <w:color w:val="auto"/>
        </w:rPr>
        <w:t>-Emissionen verantwortlich, und Prognosen zufolge wird dieser Anteil bis 2030 auf 20% ansteigen</w:t>
      </w:r>
      <w:r w:rsidR="00854BFE">
        <w:rPr>
          <w:color w:val="auto"/>
        </w:rPr>
        <w:t>.</w:t>
      </w:r>
      <w:r w:rsidRPr="00854BFE">
        <w:rPr>
          <w:color w:val="auto"/>
          <w:vertAlign w:val="superscript"/>
        </w:rPr>
        <w:fldChar w:fldCharType="begin"/>
      </w:r>
      <w:r w:rsidRPr="00854BFE">
        <w:rPr>
          <w:color w:val="auto"/>
          <w:vertAlign w:val="superscript"/>
        </w:rPr>
        <w:instrText>ADDIN ZOTERO_ITEM CSL_CITATION {"citationID":"yJybEgbL","properties":{"formattedCitation":"\\super 10\\nosupersub{}","plainCitation":"10","noteIndex":0},"citationItems":[{"id":1841,"uris":["http://zotero.org/users/14005536/items/KJWK4H86"],"itemData":{"id":1841,"type":"article-journal","container-title":"PLOS Computational Biology","DOI":"10.1371/journal.pcbi.1009324","ISSN":"1553-7358","issue":"9","journalAbbreviation":"PLOS Computational Biology","language":"en","note":"publisher: Public Library of Science","page":"e1009324","source":"PLoS Journals","title":"Ten simple rules to make your computing more environmentally sustainable","volume":"17","author":[{"family":"Lannelongue","given":"Loïc"},{"family":"Grealey","given":"Jason"},{"family":"Bateman","given":"Alex"},{"family":"Inouye","given":"Michael"}],"issued":{"date-parts":[["2021",9,20]]}}}],"schema":"https://github.com/citation-style-language/schema/raw/master/csl-citation.json"}</w:instrText>
      </w:r>
      <w:r w:rsidRPr="00854BFE">
        <w:rPr>
          <w:color w:val="auto"/>
          <w:vertAlign w:val="superscript"/>
        </w:rPr>
        <w:fldChar w:fldCharType="separate"/>
      </w:r>
      <w:r w:rsidRPr="00854BFE">
        <w:rPr>
          <w:color w:val="auto"/>
          <w:vertAlign w:val="superscript"/>
        </w:rPr>
        <w:t>9</w:t>
      </w:r>
      <w:r w:rsidRPr="00854BFE">
        <w:rPr>
          <w:color w:val="auto"/>
          <w:vertAlign w:val="superscript"/>
        </w:rPr>
        <w:fldChar w:fldCharType="end"/>
      </w:r>
      <w:r w:rsidRPr="00854BFE">
        <w:rPr>
          <w:color w:val="auto"/>
        </w:rPr>
        <w:t xml:space="preserve"> Weitere negative Auswirkungen auf die Umwelt ergeben sich aus der Herstellung und Entsorgung von Computerhardware.</w:t>
      </w:r>
      <w:r w:rsidRPr="00854BFE">
        <w:rPr>
          <w:color w:val="auto"/>
          <w:vertAlign w:val="superscript"/>
        </w:rPr>
        <w:fldChar w:fldCharType="begin"/>
      </w:r>
      <w:r w:rsidRPr="00854BFE">
        <w:rPr>
          <w:color w:val="auto"/>
          <w:vertAlign w:val="superscript"/>
        </w:rPr>
        <w:instrText>ADDIN ZOTERO_ITEM CSL_CITATION {"citationID":"yJybEgbL","properties":{"formattedCitation":"\\super 10\\nosupersub{}","plainCitation":"10","noteIndex":0},"citationItems":[{"id":1841,"uris":["http://zotero.org/users/14005536/items/KJWK4H86"],"itemData":{"id":1841,"type":"article-journal","container-title":"PLOS Computational Biology","DOI":"10.1371/journal.pcbi.1009324","ISSN":"1553-7358","issue":"9","journalAbbreviation":"PLOS Computational Biology","language":"en","note":"publisher: Public Library of Science","page":"e1009324","source":"PLoS Journals","title":"Ten simple rules to make your computing more environmentally sustainable","volume":"17","author":[{"family":"Lannelongue","given":"Loïc"},{"family":"Grealey","given":"Jason"},{"family":"Bateman","given":"Alex"},{"family":"Inouye","given":"Michael"}],"issued":{"date-parts":[["2021",9,20]]}}}],"schema":"https://github.com/citation-style-language/schema/raw/master/csl-citation.json"}</w:instrText>
      </w:r>
      <w:r w:rsidRPr="00854BFE">
        <w:rPr>
          <w:color w:val="auto"/>
          <w:vertAlign w:val="superscript"/>
        </w:rPr>
        <w:fldChar w:fldCharType="separate"/>
      </w:r>
      <w:r w:rsidRPr="00854BFE">
        <w:rPr>
          <w:color w:val="auto"/>
          <w:vertAlign w:val="superscript"/>
        </w:rPr>
        <w:t>9</w:t>
      </w:r>
      <w:r w:rsidRPr="00854BFE">
        <w:rPr>
          <w:color w:val="auto"/>
          <w:vertAlign w:val="superscript"/>
        </w:rPr>
        <w:fldChar w:fldCharType="end"/>
      </w:r>
      <w:r w:rsidRPr="00854BFE">
        <w:rPr>
          <w:color w:val="auto"/>
          <w:vertAlign w:val="superscript"/>
        </w:rPr>
        <w:t xml:space="preserve">  </w:t>
      </w:r>
    </w:p>
    <w:p w14:paraId="3B6CB94E" w14:textId="77777777" w:rsidR="000C0D5E" w:rsidRPr="00954189" w:rsidRDefault="000C0D5E" w:rsidP="00F76CE9">
      <w:pPr>
        <w:pStyle w:val="berschrift2"/>
      </w:pPr>
      <w:bookmarkStart w:id="66" w:name="_Toc184641615"/>
      <w:bookmarkStart w:id="67" w:name="_Toc194648644"/>
      <w:bookmarkStart w:id="68" w:name="_Toc197421691"/>
      <w:bookmarkStart w:id="69" w:name="_Toc209166326"/>
      <w:bookmarkStart w:id="70" w:name="_Toc209171411"/>
      <w:bookmarkStart w:id="71" w:name="_Toc227245942"/>
      <w:bookmarkStart w:id="72" w:name="_Toc227246680"/>
      <w:r w:rsidRPr="00954189">
        <w:t>Auswahl der</w:t>
      </w:r>
      <w:bookmarkEnd w:id="66"/>
      <w:r w:rsidRPr="00954189">
        <w:t xml:space="preserve"> Hardware</w:t>
      </w:r>
      <w:bookmarkEnd w:id="67"/>
      <w:bookmarkEnd w:id="68"/>
      <w:bookmarkEnd w:id="69"/>
      <w:bookmarkEnd w:id="70"/>
      <w:bookmarkEnd w:id="71"/>
      <w:bookmarkEnd w:id="72"/>
    </w:p>
    <w:p w14:paraId="550DC877" w14:textId="77777777" w:rsidR="000C0D5E" w:rsidRPr="00954189" w:rsidRDefault="000C0D5E" w:rsidP="00F76CE9">
      <w:pPr>
        <w:pStyle w:val="pFlietextText"/>
      </w:pPr>
      <w:r w:rsidRPr="00954189">
        <w:t xml:space="preserve">Berücksichtigen Sie bei der Auswahl der Hardware inkl. Prozessor, Speicherkapazität und Laufzeit, welche Anforderungen die damit auszuführenden Aufgaben stellen. Die verfügbaren Prozessoren und Speicher können auf den meisten Plattformen für High-Performance Computing (HPC) geändert werden. </w:t>
      </w:r>
    </w:p>
    <w:p w14:paraId="0CD062FD" w14:textId="77777777" w:rsidR="000C0D5E" w:rsidRPr="00954189" w:rsidRDefault="000C0D5E" w:rsidP="00F76CE9">
      <w:pPr>
        <w:pStyle w:val="pFlietextText"/>
      </w:pPr>
      <w:r w:rsidRPr="00954189">
        <w:t>Der Energiebedarf hängt weitgehend von der Speicherverfügbarkeit und weniger von der Speicherauslastung ab</w:t>
      </w:r>
      <w:r w:rsidR="00DB1947">
        <w:t>.</w:t>
      </w:r>
      <w:r w:rsidRPr="00DB1947">
        <w:rPr>
          <w:vertAlign w:val="superscript"/>
        </w:rPr>
        <w:fldChar w:fldCharType="begin"/>
      </w:r>
      <w:r w:rsidRPr="00DB1947">
        <w:rPr>
          <w:vertAlign w:val="superscript"/>
        </w:rPr>
        <w:instrText>ADDIN ZOTERO_ITEM CSL_CITATION {"citationID":"mt9o0Pgr","properties":{"formattedCitation":"\\super 10\\nosupersub{}","plainCitation":"10","noteIndex":0},"citationItems":[{"id":1841,"uris":["http://zotero.org/users/14005536/items/KJWK4H86"],"itemData":{"id":1841,"type":"article-journal","container-title":"PLOS Computational Biology","DOI":"10.1371/journal.pcbi.1009324","ISSN":"1553-7358","issue":"9","journalAbbreviation":"PLOS Computational Biology","language":"en","note":"publisher: Public Library of Science","page":"e1009324","source":"PLoS Journals","title":"Ten simple rules to make your computing more environmentally sustainable","volume":"17","author":[{"family":"Lannelongue","given":"Loïc"},{"family":"Grealey","given":"Jason"},{"family":"Bateman","given":"Alex"},{"family":"Inouye","given":"Michael"}],"issued":{"date-parts":[["2021",9,20]]}}}],"schema":"https://github.com/citation-style-language/schema/raw/master/csl-citation.json"}</w:instrText>
      </w:r>
      <w:r w:rsidRPr="00DB1947">
        <w:rPr>
          <w:vertAlign w:val="superscript"/>
        </w:rPr>
        <w:fldChar w:fldCharType="separate"/>
      </w:r>
      <w:r w:rsidRPr="00DB1947">
        <w:rPr>
          <w:vertAlign w:val="superscript"/>
        </w:rPr>
        <w:t>9</w:t>
      </w:r>
      <w:r w:rsidRPr="00DB1947">
        <w:rPr>
          <w:vertAlign w:val="superscript"/>
        </w:rPr>
        <w:fldChar w:fldCharType="end"/>
      </w:r>
      <w:r w:rsidR="00DB1947">
        <w:rPr>
          <w:vertAlign w:val="superscript"/>
        </w:rPr>
        <w:t xml:space="preserve"> </w:t>
      </w:r>
      <w:r w:rsidRPr="00954189">
        <w:t>Durch Parallelisierung oder Umstellung von Zentralprozessoren (CPUs) auf Grafikprozessoren (GPUs) kann die Prozessoreffizienz gesteigert und die Laufzeit minimiert werden, wodurch der Energieverbrauch sinkt.</w:t>
      </w:r>
    </w:p>
    <w:p w14:paraId="31722AA6" w14:textId="77777777" w:rsidR="000C0D5E" w:rsidRPr="00954189" w:rsidRDefault="000C0D5E" w:rsidP="00F76CE9">
      <w:pPr>
        <w:pStyle w:val="berschrift2"/>
      </w:pPr>
      <w:bookmarkStart w:id="73" w:name="_Toc184641618"/>
      <w:bookmarkStart w:id="74" w:name="_Toc194648646"/>
      <w:bookmarkStart w:id="75" w:name="_Toc197421693"/>
      <w:bookmarkStart w:id="76" w:name="_Toc209166327"/>
      <w:bookmarkStart w:id="77" w:name="_Toc209171412"/>
      <w:bookmarkStart w:id="78" w:name="_Toc227245943"/>
      <w:bookmarkStart w:id="79" w:name="_Toc227246681"/>
      <w:r w:rsidRPr="00954189">
        <w:t>Einstellungen</w:t>
      </w:r>
      <w:bookmarkEnd w:id="73"/>
      <w:r w:rsidRPr="00954189">
        <w:t xml:space="preserve"> für PCs und Drucker</w:t>
      </w:r>
      <w:bookmarkEnd w:id="74"/>
      <w:bookmarkEnd w:id="75"/>
      <w:bookmarkEnd w:id="76"/>
      <w:bookmarkEnd w:id="77"/>
      <w:bookmarkEnd w:id="78"/>
      <w:bookmarkEnd w:id="79"/>
    </w:p>
    <w:p w14:paraId="03DAF8A0" w14:textId="77777777" w:rsidR="000C0D5E" w:rsidRPr="00954189" w:rsidRDefault="000C0D5E" w:rsidP="00F76CE9">
      <w:pPr>
        <w:pStyle w:val="pFlietextText"/>
      </w:pPr>
      <w:r w:rsidRPr="00954189">
        <w:t xml:space="preserve">Computer und Drucker lassen sich üblicherweise in den Ruhezustand versetzen und die Geräte verfügen über Energiespareinstellungen. Der Ruhezustand wird aktiviert, wenn ein Gerät für einen bestimmten Zeitraum nicht genutzt wird. Der Energieverbrauch im Ruhezustand ist geringer als wenn es ungenutzt weiterläuft. Der geringe zusätzliche Stromverbrauch beim Hochfahren aus dem Ruhezustand wird durch die Energieeinsparung während dieses Zeitraums mehr als ausgeglichen. </w:t>
      </w:r>
    </w:p>
    <w:p w14:paraId="0280CF32" w14:textId="77777777" w:rsidR="000C0D5E" w:rsidRPr="00954189" w:rsidRDefault="000C0D5E" w:rsidP="00F76CE9">
      <w:pPr>
        <w:pStyle w:val="pFlietextText"/>
      </w:pPr>
      <w:r w:rsidRPr="00954189">
        <w:t>Auch im ausgeschalteten Zustand verbrauchen einige Geräte weiterhin eine geringe Menge Strom. Am besten vermeiden Sie dies, indem Sie die Geräte an eine Steckdosenleiste mit Schalter anschließen, diese ausschalten und so den Stromfluss vollständig unterbrechen.</w:t>
      </w:r>
    </w:p>
    <w:p w14:paraId="22996611" w14:textId="77777777" w:rsidR="000C0D5E" w:rsidRPr="00954189" w:rsidRDefault="000C0D5E" w:rsidP="00F76CE9">
      <w:pPr>
        <w:pStyle w:val="berschrift2"/>
      </w:pPr>
      <w:bookmarkStart w:id="80" w:name="_Toc194648647"/>
      <w:bookmarkStart w:id="81" w:name="_Toc197421694"/>
      <w:bookmarkStart w:id="82" w:name="_Toc209166328"/>
      <w:bookmarkStart w:id="83" w:name="_Toc209171413"/>
      <w:bookmarkStart w:id="84" w:name="_Toc227245944"/>
      <w:bookmarkStart w:id="85" w:name="_Toc227246682"/>
      <w:r w:rsidRPr="00954189">
        <w:t>Wahl der Software</w:t>
      </w:r>
      <w:bookmarkEnd w:id="80"/>
      <w:bookmarkEnd w:id="81"/>
      <w:bookmarkEnd w:id="82"/>
      <w:bookmarkEnd w:id="83"/>
      <w:bookmarkEnd w:id="84"/>
      <w:bookmarkEnd w:id="85"/>
    </w:p>
    <w:p w14:paraId="71ED56CB" w14:textId="21C37AB6" w:rsidR="000C0D5E" w:rsidRPr="00954189" w:rsidRDefault="000C0D5E" w:rsidP="00F76CE9">
      <w:pPr>
        <w:pStyle w:val="pFlietextText"/>
      </w:pPr>
      <w:r w:rsidRPr="00954189">
        <w:t>Die Verwendung energieeffizienter und optimierter Software für die jeweilige Aufgabe ist eine einfache Möglichkeit, die Umweltbelastung Ihrer Forschung zu reduzieren. Optimierte Programme sind kleiner, benötigen weniger Arbeitsspeicher und haben eine kürzere Ausführungszeit. Eine verbesserte Softwareeffizienz führt jedoch nicht immer zu einer Verkürzung der Rechenzeit und kann einen Austausch der Hardware erforderlich machen.</w:t>
      </w:r>
      <w:r w:rsidR="00854BFE" w:rsidRPr="00854BFE">
        <w:rPr>
          <w:vertAlign w:val="superscript"/>
        </w:rPr>
        <w:t>10,11</w:t>
      </w:r>
      <w:r w:rsidRPr="00954189">
        <w:t xml:space="preserve"> Weitere Informationen finden Sie im „Leitfaden zur umweltfreundlichen öffentlichen Beschaffung von Software“ des Umweltbundesamtes </w:t>
      </w:r>
      <w:hyperlink r:id="rId15" w:history="1">
        <w:r w:rsidRPr="00954189">
          <w:rPr>
            <w:rStyle w:val="Hyperlink"/>
          </w:rPr>
          <w:t>https://www.umweltbundesamt.de/sites/default/files/medien/11850/publikationen/leitfaden_beschaffung_software_barrierefrei_0.pdf</w:t>
        </w:r>
      </w:hyperlink>
      <w:r w:rsidRPr="00954189">
        <w:t>).</w:t>
      </w:r>
    </w:p>
    <w:p w14:paraId="39279891" w14:textId="77777777" w:rsidR="000C0D5E" w:rsidRPr="00954189" w:rsidRDefault="000C0D5E" w:rsidP="00F76CE9">
      <w:pPr>
        <w:pStyle w:val="berschrift2"/>
      </w:pPr>
      <w:bookmarkStart w:id="86" w:name="_Toc184641620"/>
      <w:bookmarkStart w:id="87" w:name="_Toc194648648"/>
      <w:bookmarkStart w:id="88" w:name="_Toc197421695"/>
      <w:bookmarkStart w:id="89" w:name="_Toc209166329"/>
      <w:bookmarkStart w:id="90" w:name="_Toc209171414"/>
      <w:bookmarkStart w:id="91" w:name="_Toc227245945"/>
      <w:bookmarkStart w:id="92" w:name="_Toc227246683"/>
      <w:r w:rsidRPr="00954189">
        <w:t>Datenspeicherung</w:t>
      </w:r>
      <w:bookmarkEnd w:id="86"/>
      <w:bookmarkEnd w:id="87"/>
      <w:bookmarkEnd w:id="88"/>
      <w:bookmarkEnd w:id="89"/>
      <w:bookmarkEnd w:id="90"/>
      <w:bookmarkEnd w:id="91"/>
      <w:bookmarkEnd w:id="92"/>
    </w:p>
    <w:p w14:paraId="3F14BF07" w14:textId="77777777" w:rsidR="000C0D5E" w:rsidRDefault="000C0D5E" w:rsidP="00F76CE9">
      <w:pPr>
        <w:pStyle w:val="pFlietextText"/>
      </w:pPr>
      <w:r w:rsidRPr="00954189">
        <w:t xml:space="preserve">Die korrekte Speicherung von Daten minimiert den Energieverbrauch und verhindert, dass Experimente doppelt durchgeführt werden. Darüber hinaus verlangen die DFG und die TUD, dass Forschungsdaten mindestens zehn Jahre lang gespeichert werden. Wenn Sie Ihre Daten digital speichern, sichern oder archivieren möchten – das Zentrum für Informationsdienste und Hochleistungsrechnen (ZIH) der TU Dresden bietet allen Mitgliedern der TU Dresden Netzlaufwerke oder Speicherdienste sowie einen zentralen Datenspeicher. Kapazitätsbeschränkungen und redundante Systeme werden entsprechend den Sicherheits- und Verfügbarkeitsanforderungen der Nutzenden bereitgestellt. Weitere Informationen dazu finden Sie hier: </w:t>
      </w:r>
      <w:hyperlink r:id="rId16" w:history="1">
        <w:r w:rsidRPr="00954189">
          <w:rPr>
            <w:rStyle w:val="Hyperlink"/>
          </w:rPr>
          <w:t>https://tu-dresden.de/zih/dienste/service-katalog/arbeitsumgebung/datenspeicher</w:t>
        </w:r>
      </w:hyperlink>
      <w:r w:rsidRPr="00954189">
        <w:t xml:space="preserve"> .</w:t>
      </w:r>
    </w:p>
    <w:p w14:paraId="19F14CE8" w14:textId="77777777" w:rsidR="0092352F" w:rsidRPr="00954189" w:rsidRDefault="0092352F" w:rsidP="00F76CE9">
      <w:pPr>
        <w:pStyle w:val="pFlietextText"/>
      </w:pPr>
    </w:p>
    <w:p w14:paraId="59202032" w14:textId="77777777" w:rsidR="000C0D5E" w:rsidRPr="00DB1947" w:rsidRDefault="000C0D5E" w:rsidP="00DB1947">
      <w:pPr>
        <w:pStyle w:val="berschrift1"/>
        <w:rPr>
          <w:caps/>
        </w:rPr>
      </w:pPr>
      <w:bookmarkStart w:id="93" w:name="_Toc184641621"/>
      <w:bookmarkStart w:id="94" w:name="_Toc197421696"/>
      <w:bookmarkStart w:id="95" w:name="_Toc209166330"/>
      <w:bookmarkStart w:id="96" w:name="_Toc227246684"/>
      <w:r w:rsidRPr="00DB1947">
        <w:rPr>
          <w:caps/>
        </w:rPr>
        <w:t>Grüne Chemie</w:t>
      </w:r>
      <w:bookmarkStart w:id="97" w:name="_Toc174712263"/>
      <w:bookmarkEnd w:id="93"/>
      <w:bookmarkEnd w:id="94"/>
      <w:bookmarkEnd w:id="95"/>
      <w:bookmarkEnd w:id="97"/>
      <w:bookmarkEnd w:id="96"/>
    </w:p>
    <w:p w14:paraId="0800F40C" w14:textId="4F95D990" w:rsidR="000C0D5E" w:rsidRPr="00646C90" w:rsidRDefault="000C0D5E" w:rsidP="00854BFE">
      <w:pPr>
        <w:pStyle w:val="pFlietextText"/>
        <w:rPr>
          <w:color w:val="auto"/>
        </w:rPr>
      </w:pPr>
      <w:r w:rsidRPr="00854BFE">
        <w:rPr>
          <w:color w:val="auto"/>
        </w:rPr>
        <w:t xml:space="preserve">Grüne Chemie ist eine innovative Methode zur Herstellung chemischer Produkte und Verfahren, bei der die Entstehung und Verwendung schädlicher Verbindungen minimiert oder ganz vermieden wird. Grüne Chemie kann zu einer Reduzierung von Abfällen und einer verbesserten Versuchseffizienz führen. </w:t>
      </w:r>
      <w:r w:rsidR="00F76CE9" w:rsidRPr="00854BFE">
        <w:rPr>
          <w:color w:val="auto"/>
        </w:rPr>
        <w:t>Sie</w:t>
      </w:r>
      <w:r w:rsidR="00CD0874" w:rsidRPr="00854BFE">
        <w:rPr>
          <w:color w:val="auto"/>
        </w:rPr>
        <w:t xml:space="preserve"> </w:t>
      </w:r>
      <w:r w:rsidRPr="00854BFE">
        <w:rPr>
          <w:color w:val="auto"/>
        </w:rPr>
        <w:t>konzentriert sich auf die Entwicklung chemischer Produkte und Verfahren, die durch die Verwendung erneuerbarer Ressourcen und die Steigerung der Energieeffizienz eine geringe Umweltbelastung haben. Dabei wird angestrebt, Lösungen zu entwickeln, die während ihrer gesamten Lebensdauer sowohl wirtschaftlich als auch ökologisch nachhaltig sind. Beispielsweise können Lösungsmittel aus nachhaltigen Ressourcen, wie pflanzliche Lösungsmittel wie z.</w:t>
      </w:r>
      <w:r w:rsidR="0011233E" w:rsidRPr="00854BFE">
        <w:rPr>
          <w:color w:val="auto"/>
        </w:rPr>
        <w:t> </w:t>
      </w:r>
      <w:r w:rsidRPr="00854BFE">
        <w:rPr>
          <w:color w:val="auto"/>
        </w:rPr>
        <w:t xml:space="preserve">B. Bioethanol, </w:t>
      </w:r>
      <w:proofErr w:type="spellStart"/>
      <w:r w:rsidRPr="00854BFE">
        <w:rPr>
          <w:color w:val="auto"/>
        </w:rPr>
        <w:t>Ethyllactat</w:t>
      </w:r>
      <w:proofErr w:type="spellEnd"/>
      <w:r w:rsidRPr="00854BFE">
        <w:rPr>
          <w:color w:val="auto"/>
        </w:rPr>
        <w:t xml:space="preserve"> oder </w:t>
      </w:r>
      <w:proofErr w:type="spellStart"/>
      <w:r w:rsidRPr="00854BFE">
        <w:rPr>
          <w:color w:val="auto"/>
        </w:rPr>
        <w:t>Cyrene</w:t>
      </w:r>
      <w:proofErr w:type="spellEnd"/>
      <w:r w:rsidRPr="00854BFE">
        <w:rPr>
          <w:color w:val="auto"/>
        </w:rPr>
        <w:t xml:space="preserve">™, petrochemische Verbindungen ersetzen. Weitere Informationen finden Sie </w:t>
      </w:r>
      <w:r w:rsidR="00646C90">
        <w:rPr>
          <w:color w:val="auto"/>
        </w:rPr>
        <w:t xml:space="preserve">zum Beispiel </w:t>
      </w:r>
      <w:r w:rsidRPr="00854BFE">
        <w:rPr>
          <w:color w:val="auto"/>
        </w:rPr>
        <w:t>unter:</w:t>
      </w:r>
      <w:r w:rsidR="00854BFE">
        <w:rPr>
          <w:color w:val="auto"/>
        </w:rPr>
        <w:t xml:space="preserve"> </w:t>
      </w:r>
      <w:hyperlink r:id="rId17" w:history="1">
        <w:r w:rsidRPr="00954189">
          <w:rPr>
            <w:rStyle w:val="Hyperlink"/>
          </w:rPr>
          <w:t>https://www.sigmaaldrich.com/DE/de/campaigns/sustainable-chemistry?srsltid=AfmBOors4rgk4RThEsSgxk1wDM8tZiFGcxYIRG6M9TR7B51Smr_kJ5Zq</w:t>
        </w:r>
      </w:hyperlink>
      <w:r w:rsidRPr="00954189">
        <w:t xml:space="preserve"> </w:t>
      </w:r>
    </w:p>
    <w:p w14:paraId="10BC1A14" w14:textId="77777777" w:rsidR="000C0D5E" w:rsidRPr="00954189" w:rsidRDefault="000C0D5E" w:rsidP="00F76CE9">
      <w:pPr>
        <w:pStyle w:val="berschrift2"/>
      </w:pPr>
      <w:bookmarkStart w:id="98" w:name="_Toc194648652"/>
      <w:bookmarkStart w:id="99" w:name="_Toc197421699"/>
      <w:bookmarkStart w:id="100" w:name="_Toc209166333"/>
      <w:bookmarkStart w:id="101" w:name="_Toc209171417"/>
      <w:bookmarkStart w:id="102" w:name="_Toc227245947"/>
      <w:bookmarkStart w:id="103" w:name="_Toc227246685"/>
      <w:r w:rsidRPr="00954189">
        <w:t>Minimierung gefährlicher Abfälle</w:t>
      </w:r>
      <w:bookmarkEnd w:id="98"/>
      <w:bookmarkEnd w:id="99"/>
      <w:bookmarkEnd w:id="100"/>
      <w:bookmarkEnd w:id="101"/>
      <w:bookmarkEnd w:id="102"/>
      <w:bookmarkEnd w:id="103"/>
    </w:p>
    <w:p w14:paraId="1B412FD5" w14:textId="77777777" w:rsidR="000C0D5E" w:rsidRPr="00954189" w:rsidRDefault="000C0D5E" w:rsidP="00F76CE9">
      <w:pPr>
        <w:pStyle w:val="pFlietextText"/>
      </w:pPr>
      <w:r w:rsidRPr="00954189">
        <w:t>Die Reduzierung gefährlicher Abfälle in Laboren ist ebenfalls von entscheidender Bedeutung für die Sicherheit und den Umweltschutz. Ersetzen Sie gefährliche Stoffe nach Möglichkeit durch weniger gefährliche, verwenden Sie nur minimale Mengen und lagern Sie Chemikalien ordnungsgemäß. Durch den Einsatz miniaturisierter Techniken kann das Abfallaufkommen drastisch reduziert werden, wodurch die Entsorgungskosten gesenkt, die Laborsicherheit verbessert und der Bedarf an aufwendigen Entsorgungsverfahren und Autoklavieren verringert werden, was wiederum den damit verbundenen Energieverbrauch sowie die Kosten senkt.</w:t>
      </w:r>
    </w:p>
    <w:p w14:paraId="3491E3DF" w14:textId="77777777" w:rsidR="000C0D5E" w:rsidRPr="00954189" w:rsidRDefault="000C0D5E" w:rsidP="00F76CE9">
      <w:pPr>
        <w:pStyle w:val="berschrift2"/>
      </w:pPr>
      <w:bookmarkStart w:id="104" w:name="_Toc184641625"/>
      <w:bookmarkStart w:id="105" w:name="_Toc194648653"/>
      <w:bookmarkStart w:id="106" w:name="_Toc197421700"/>
      <w:bookmarkStart w:id="107" w:name="_Toc209166334"/>
      <w:bookmarkStart w:id="108" w:name="_Toc209171418"/>
      <w:bookmarkStart w:id="109" w:name="_Toc227245948"/>
      <w:bookmarkStart w:id="110" w:name="_Toc227246686"/>
      <w:r w:rsidRPr="00954189">
        <w:t>Katalyse vs. stöchiometrische Reaktionen</w:t>
      </w:r>
      <w:bookmarkEnd w:id="104"/>
      <w:bookmarkEnd w:id="105"/>
      <w:bookmarkEnd w:id="106"/>
      <w:bookmarkEnd w:id="107"/>
      <w:bookmarkEnd w:id="108"/>
      <w:bookmarkEnd w:id="109"/>
      <w:bookmarkEnd w:id="110"/>
    </w:p>
    <w:p w14:paraId="5BDFC152" w14:textId="5AC1F54A" w:rsidR="000C0D5E" w:rsidRDefault="0033616A" w:rsidP="0033616A">
      <w:pPr>
        <w:pStyle w:val="Kommentartext"/>
      </w:pPr>
      <w:r>
        <w:t xml:space="preserve">Bevorzugen Sie die Katalyse gegenüber stöchiometrischen Reaktionen. Bei der Katalyse kann durch die Verwendung von Katalysatoren die Reaktionseffizienz gesteigert und Abfall verringert werden. Bei der stöchiometrischen Reaktion dagegen werden Ausgangsstoffe in exakten Mengen eingesetzt und es entstehen Nebenprodukte, die entsorgt werden müssen. </w:t>
      </w:r>
      <w:r w:rsidR="000C0D5E" w:rsidRPr="00954189">
        <w:t>Katalytische Prozesse unter Verwendung natürlicher Enzyme werden in biochemischen Prozessen eingesetzt, um eine hohe Spezifität und Effizienz bei gleichzeitig weniger Abfallprodukten als bei herkömmlichen chemischen Reaktionen zu erzielen.</w:t>
      </w:r>
    </w:p>
    <w:p w14:paraId="01E92F0F" w14:textId="77777777" w:rsidR="000C0D5E" w:rsidRPr="00BF1131" w:rsidRDefault="000C0D5E" w:rsidP="00BF1131">
      <w:pPr>
        <w:pStyle w:val="berschrift1"/>
        <w:rPr>
          <w:caps/>
        </w:rPr>
      </w:pPr>
      <w:bookmarkStart w:id="111" w:name="_Toc184641626"/>
      <w:bookmarkStart w:id="112" w:name="_Toc197421701"/>
      <w:bookmarkStart w:id="113" w:name="_Toc209166335"/>
      <w:bookmarkStart w:id="114" w:name="_Toc227246687"/>
      <w:r w:rsidRPr="00BF1131">
        <w:rPr>
          <w:caps/>
        </w:rPr>
        <w:t xml:space="preserve">Forschungsmethodik </w:t>
      </w:r>
      <w:bookmarkEnd w:id="111"/>
      <w:r w:rsidRPr="00BF1131">
        <w:rPr>
          <w:caps/>
        </w:rPr>
        <w:t xml:space="preserve">und </w:t>
      </w:r>
      <w:r w:rsidR="003C4B84" w:rsidRPr="00BF1131">
        <w:rPr>
          <w:caps/>
        </w:rPr>
        <w:t>–</w:t>
      </w:r>
      <w:r w:rsidRPr="00BF1131">
        <w:rPr>
          <w:caps/>
        </w:rPr>
        <w:t>design</w:t>
      </w:r>
      <w:bookmarkEnd w:id="112"/>
      <w:bookmarkEnd w:id="113"/>
      <w:bookmarkEnd w:id="114"/>
    </w:p>
    <w:p w14:paraId="69BF15A8" w14:textId="497ED5AE" w:rsidR="003C4B84" w:rsidRPr="00DB1947" w:rsidRDefault="001249B6" w:rsidP="001249B6">
      <w:pPr>
        <w:pStyle w:val="pFlietextText"/>
      </w:pPr>
      <w:r>
        <w:t xml:space="preserve">Die Verfahren, wie Daten gesammelt und analysiert werden und die Frage welches Design verwendet wird, beides hat Einfluss auf den Ressourcenverbrauch durch das Experiment oder den Test und sollte für eine verantwortungsbewusste und effiziente Forschung entsprechend geplant werden. </w:t>
      </w:r>
    </w:p>
    <w:p w14:paraId="62AECB9D" w14:textId="77777777" w:rsidR="000C0D5E" w:rsidRPr="00954189" w:rsidRDefault="000C0D5E" w:rsidP="00BF1131">
      <w:pPr>
        <w:pStyle w:val="berschrift2"/>
      </w:pPr>
      <w:bookmarkStart w:id="115" w:name="_Toc184641627"/>
      <w:bookmarkStart w:id="116" w:name="_Toc194648655"/>
      <w:bookmarkStart w:id="117" w:name="_Toc197421702"/>
      <w:bookmarkStart w:id="118" w:name="_Toc209166336"/>
      <w:bookmarkStart w:id="119" w:name="_Toc209171420"/>
      <w:bookmarkStart w:id="120" w:name="_Toc227245949"/>
      <w:bookmarkStart w:id="121" w:name="_Toc227246688"/>
      <w:r w:rsidRPr="00954189">
        <w:t xml:space="preserve">Open-Access-Daten und </w:t>
      </w:r>
      <w:r w:rsidRPr="00BF1131">
        <w:t>Protokollplattformen</w:t>
      </w:r>
      <w:bookmarkEnd w:id="115"/>
      <w:bookmarkEnd w:id="116"/>
      <w:bookmarkEnd w:id="117"/>
      <w:bookmarkEnd w:id="118"/>
      <w:bookmarkEnd w:id="119"/>
      <w:bookmarkEnd w:id="120"/>
      <w:bookmarkEnd w:id="121"/>
    </w:p>
    <w:p w14:paraId="66C620FF" w14:textId="3C449A56" w:rsidR="000C0D5E" w:rsidRPr="00954189" w:rsidRDefault="00885C17" w:rsidP="00F76CE9">
      <w:pPr>
        <w:pStyle w:val="pFlietextText"/>
      </w:pPr>
      <w:r>
        <w:t xml:space="preserve">Es ist sinnvoll, auf bereits veröffentlichte und vertrauenswürdige Daten zurückzugreifen, anstatt sie zu reproduzieren oder zu replizieren. Wenn Forschende </w:t>
      </w:r>
      <w:r w:rsidRPr="00954189">
        <w:t xml:space="preserve">im Labor </w:t>
      </w:r>
      <w:r>
        <w:t xml:space="preserve">eine </w:t>
      </w:r>
      <w:r w:rsidRPr="00954189">
        <w:t xml:space="preserve">nicht etablierte Technik </w:t>
      </w:r>
      <w:r>
        <w:t xml:space="preserve">ausprobieren oder neu verwendete </w:t>
      </w:r>
      <w:r w:rsidRPr="00954189">
        <w:t xml:space="preserve">Kits </w:t>
      </w:r>
      <w:r>
        <w:t xml:space="preserve">optimieren müssen, </w:t>
      </w:r>
      <w:r w:rsidRPr="00954189">
        <w:t xml:space="preserve">kann </w:t>
      </w:r>
      <w:r>
        <w:t xml:space="preserve">das zu mehreren </w:t>
      </w:r>
      <w:r w:rsidRPr="00954189">
        <w:t>Durchläufen führen, die Material und Zeit verschwenden.</w:t>
      </w:r>
      <w:r>
        <w:t xml:space="preserve"> </w:t>
      </w:r>
      <w:r w:rsidRPr="00954189">
        <w:t xml:space="preserve">Webseiten wie Protocols.io oder </w:t>
      </w:r>
      <w:proofErr w:type="spellStart"/>
      <w:r w:rsidRPr="00954189">
        <w:t>github</w:t>
      </w:r>
      <w:proofErr w:type="spellEnd"/>
      <w:r w:rsidRPr="00954189">
        <w:t xml:space="preserve"> bieten Forschenden die Möglichkeit, präzise und von </w:t>
      </w:r>
      <w:proofErr w:type="spellStart"/>
      <w:proofErr w:type="gramStart"/>
      <w:r w:rsidRPr="00954189">
        <w:t>Fachkolleg:innen</w:t>
      </w:r>
      <w:proofErr w:type="spellEnd"/>
      <w:proofErr w:type="gramEnd"/>
      <w:r w:rsidRPr="00954189">
        <w:t xml:space="preserve"> geprüfte Methoden auszutauschen und so Verschwendung zu vermeiden.</w:t>
      </w:r>
      <w:r w:rsidR="000C0D5E" w:rsidRPr="00954189">
        <w:t xml:space="preserve"> </w:t>
      </w:r>
    </w:p>
    <w:p w14:paraId="59ECC41B" w14:textId="77777777" w:rsidR="000C0D5E" w:rsidRPr="00B86AEF" w:rsidRDefault="000C0D5E" w:rsidP="00F76CE9">
      <w:pPr>
        <w:pStyle w:val="berschrift2"/>
      </w:pPr>
      <w:bookmarkStart w:id="122" w:name="_Toc184641628"/>
      <w:bookmarkStart w:id="123" w:name="_Toc194648656"/>
      <w:bookmarkStart w:id="124" w:name="_Toc197421703"/>
      <w:bookmarkStart w:id="125" w:name="_Toc209166337"/>
      <w:bookmarkStart w:id="126" w:name="_Toc209171421"/>
      <w:bookmarkStart w:id="127" w:name="_Toc227245950"/>
      <w:bookmarkStart w:id="128" w:name="_Toc227246689"/>
      <w:r w:rsidRPr="00B86AEF">
        <w:t>Miniaturisierung</w:t>
      </w:r>
      <w:bookmarkEnd w:id="122"/>
      <w:bookmarkEnd w:id="123"/>
      <w:bookmarkEnd w:id="124"/>
      <w:bookmarkEnd w:id="125"/>
      <w:bookmarkEnd w:id="126"/>
      <w:bookmarkEnd w:id="127"/>
      <w:bookmarkEnd w:id="128"/>
    </w:p>
    <w:p w14:paraId="67A8DCB0" w14:textId="47649E1C" w:rsidR="0024600E" w:rsidRPr="008F3C3F" w:rsidRDefault="00D870AD" w:rsidP="0024600E">
      <w:pPr>
        <w:pStyle w:val="pFlietextText"/>
        <w:rPr>
          <w:rFonts w:ascii="Segoe UI" w:hAnsi="Segoe UI" w:cs="Segoe UI"/>
          <w:color w:val="auto"/>
          <w:sz w:val="21"/>
          <w:szCs w:val="21"/>
          <w:shd w:val="clear" w:color="auto" w:fill="FFFFFF"/>
          <w:vertAlign w:val="superscript"/>
        </w:rPr>
      </w:pPr>
      <w:bookmarkStart w:id="129" w:name="_Toc197421704"/>
      <w:bookmarkStart w:id="130" w:name="_Toc209166338"/>
      <w:bookmarkStart w:id="131" w:name="_Toc209171422"/>
      <w:r w:rsidRPr="008F3C3F">
        <w:rPr>
          <w:rFonts w:ascii="Segoe UI" w:hAnsi="Segoe UI" w:cs="Segoe UI"/>
          <w:color w:val="auto"/>
          <w:sz w:val="21"/>
          <w:szCs w:val="21"/>
          <w:shd w:val="clear" w:color="auto" w:fill="FFFFFF"/>
        </w:rPr>
        <w:t>Durch kleiner angelegte Pilotstudien kann bei</w:t>
      </w:r>
      <w:r w:rsidR="0024600E" w:rsidRPr="008F3C3F">
        <w:rPr>
          <w:rFonts w:ascii="Segoe UI" w:hAnsi="Segoe UI" w:cs="Segoe UI"/>
          <w:color w:val="auto"/>
          <w:sz w:val="21"/>
          <w:szCs w:val="21"/>
          <w:shd w:val="clear" w:color="auto" w:fill="FFFFFF"/>
        </w:rPr>
        <w:t xml:space="preserve"> chemische</w:t>
      </w:r>
      <w:r w:rsidRPr="008F3C3F">
        <w:rPr>
          <w:rFonts w:ascii="Segoe UI" w:hAnsi="Segoe UI" w:cs="Segoe UI"/>
          <w:color w:val="auto"/>
          <w:sz w:val="21"/>
          <w:szCs w:val="21"/>
          <w:shd w:val="clear" w:color="auto" w:fill="FFFFFF"/>
        </w:rPr>
        <w:t>n</w:t>
      </w:r>
      <w:r w:rsidR="0024600E" w:rsidRPr="008F3C3F">
        <w:rPr>
          <w:rFonts w:ascii="Segoe UI" w:hAnsi="Segoe UI" w:cs="Segoe UI"/>
          <w:color w:val="auto"/>
          <w:sz w:val="21"/>
          <w:szCs w:val="21"/>
          <w:shd w:val="clear" w:color="auto" w:fill="FFFFFF"/>
        </w:rPr>
        <w:t xml:space="preserve"> Experimente</w:t>
      </w:r>
      <w:r w:rsidRPr="008F3C3F">
        <w:rPr>
          <w:rFonts w:ascii="Segoe UI" w:hAnsi="Segoe UI" w:cs="Segoe UI"/>
          <w:color w:val="auto"/>
          <w:sz w:val="21"/>
          <w:szCs w:val="21"/>
          <w:shd w:val="clear" w:color="auto" w:fill="FFFFFF"/>
        </w:rPr>
        <w:t>n</w:t>
      </w:r>
      <w:r w:rsidR="0024600E" w:rsidRPr="008F3C3F">
        <w:rPr>
          <w:rFonts w:ascii="Segoe UI" w:hAnsi="Segoe UI" w:cs="Segoe UI"/>
          <w:color w:val="auto"/>
          <w:sz w:val="21"/>
          <w:szCs w:val="21"/>
          <w:shd w:val="clear" w:color="auto" w:fill="FFFFFF"/>
        </w:rPr>
        <w:t xml:space="preserve"> oder biologische Tests </w:t>
      </w:r>
      <w:r w:rsidRPr="008F3C3F">
        <w:rPr>
          <w:rFonts w:ascii="Segoe UI" w:hAnsi="Segoe UI" w:cs="Segoe UI"/>
          <w:color w:val="auto"/>
          <w:sz w:val="21"/>
          <w:szCs w:val="21"/>
          <w:shd w:val="clear" w:color="auto" w:fill="FFFFFF"/>
        </w:rPr>
        <w:t>der Materialverbrauch reduziert werden</w:t>
      </w:r>
      <w:r w:rsidR="0024600E" w:rsidRPr="008F3C3F">
        <w:rPr>
          <w:rFonts w:ascii="Segoe UI" w:hAnsi="Segoe UI" w:cs="Segoe UI"/>
          <w:color w:val="auto"/>
          <w:sz w:val="21"/>
          <w:szCs w:val="21"/>
          <w:shd w:val="clear" w:color="auto" w:fill="FFFFFF"/>
        </w:rPr>
        <w:t>. Zum Beispiel benötigt die Durchführung von PCR-Experimenten mit kleineren Mengen weniger DNA-Proben und Reagenzien. Statistische Algorithmen helfen dabei, die minimale Probenanzahl zu bestimmen, die für aussagekräftige Ergebnisse nötig ist.</w:t>
      </w:r>
      <w:r w:rsidR="00E0097C" w:rsidRPr="008F3C3F">
        <w:rPr>
          <w:rFonts w:ascii="Segoe UI" w:hAnsi="Segoe UI" w:cs="Segoe UI"/>
          <w:color w:val="auto"/>
          <w:sz w:val="21"/>
          <w:szCs w:val="21"/>
          <w:shd w:val="clear" w:color="auto" w:fill="FFFFFF"/>
          <w:vertAlign w:val="superscript"/>
        </w:rPr>
        <w:t>12</w:t>
      </w:r>
      <w:r w:rsidR="0024600E" w:rsidRPr="008F3C3F">
        <w:rPr>
          <w:rFonts w:ascii="Segoe UI" w:hAnsi="Segoe UI" w:cs="Segoe UI"/>
          <w:color w:val="auto"/>
          <w:sz w:val="21"/>
          <w:szCs w:val="21"/>
          <w:shd w:val="clear" w:color="auto" w:fill="FFFFFF"/>
        </w:rPr>
        <w:t xml:space="preserve"> Die Deutsche Forschungsgemeinschaft (DFG) empfiehlt, Experimente oder Feldstudien nur in dem Umfang zu planen, der zur Beantwortung der Forschungsfrage notwendig ist. Alternativ können Experimente teilweise oder vollständig durch Simulationen ersetzt werden.</w:t>
      </w:r>
      <w:r w:rsidR="0024600E" w:rsidRPr="008F3C3F">
        <w:rPr>
          <w:rFonts w:ascii="Segoe UI" w:hAnsi="Segoe UI" w:cs="Segoe UI"/>
          <w:color w:val="auto"/>
          <w:sz w:val="21"/>
          <w:szCs w:val="21"/>
          <w:shd w:val="clear" w:color="auto" w:fill="FFFFFF"/>
          <w:vertAlign w:val="superscript"/>
        </w:rPr>
        <w:t>1</w:t>
      </w:r>
      <w:r w:rsidR="00E0097C" w:rsidRPr="008F3C3F">
        <w:rPr>
          <w:rFonts w:ascii="Segoe UI" w:hAnsi="Segoe UI" w:cs="Segoe UI"/>
          <w:color w:val="auto"/>
          <w:sz w:val="21"/>
          <w:szCs w:val="21"/>
          <w:shd w:val="clear" w:color="auto" w:fill="FFFFFF"/>
          <w:vertAlign w:val="superscript"/>
        </w:rPr>
        <w:t>3</w:t>
      </w:r>
    </w:p>
    <w:p w14:paraId="7A126DBD" w14:textId="77777777" w:rsidR="00BF1131" w:rsidRPr="00177B31" w:rsidRDefault="00BF1131" w:rsidP="0024600E">
      <w:pPr>
        <w:pStyle w:val="pFlietextText"/>
        <w:rPr>
          <w:vertAlign w:val="superscript"/>
        </w:rPr>
      </w:pPr>
    </w:p>
    <w:p w14:paraId="180B8E05" w14:textId="77777777" w:rsidR="000C0D5E" w:rsidRPr="00BF1131" w:rsidRDefault="000C0D5E" w:rsidP="00BF1131">
      <w:pPr>
        <w:pStyle w:val="berschrift1"/>
        <w:rPr>
          <w:caps/>
        </w:rPr>
      </w:pPr>
      <w:bookmarkStart w:id="132" w:name="_Toc227246690"/>
      <w:r w:rsidRPr="00BF1131">
        <w:rPr>
          <w:caps/>
        </w:rPr>
        <w:t>Weitergabe von Informationen</w:t>
      </w:r>
      <w:bookmarkStart w:id="133" w:name="_Toc184641629"/>
      <w:bookmarkEnd w:id="129"/>
      <w:bookmarkEnd w:id="130"/>
      <w:bookmarkEnd w:id="131"/>
      <w:bookmarkEnd w:id="132"/>
      <w:r w:rsidRPr="00BF1131">
        <w:rPr>
          <w:caps/>
        </w:rPr>
        <w:t xml:space="preserve"> </w:t>
      </w:r>
      <w:bookmarkEnd w:id="133"/>
    </w:p>
    <w:p w14:paraId="4932E9D8" w14:textId="70FA70C4" w:rsidR="007F1BB7" w:rsidRPr="00954189" w:rsidRDefault="007F1BB7" w:rsidP="007F1BB7">
      <w:pPr>
        <w:pStyle w:val="pFlietextText"/>
      </w:pPr>
      <w:r w:rsidRPr="00954189">
        <w:t xml:space="preserve">Es ist wichtig, sich über Nachhaltigkeitsmaßnahmen auf dem Laufenden zu halten. Zu diesem Zweck sollte jedes Labor eine </w:t>
      </w:r>
      <w:r>
        <w:t xml:space="preserve">Person </w:t>
      </w:r>
      <w:r w:rsidRPr="00954189">
        <w:t>benennen, die sich über Entwicklungen</w:t>
      </w:r>
      <w:r>
        <w:t xml:space="preserve"> im Bereich Nachhaltigkeit</w:t>
      </w:r>
      <w:r w:rsidRPr="00954189">
        <w:t>, insbesondere aus der TUD</w:t>
      </w:r>
      <w:r>
        <w:t xml:space="preserve"> und dem UKD</w:t>
      </w:r>
      <w:r w:rsidRPr="00954189">
        <w:t xml:space="preserve">, auf dem Laufenden hält und diese zwecks Umsetzung an ihr Team weitergibt. </w:t>
      </w:r>
      <w:r>
        <w:t xml:space="preserve">Diese Person könnte zusätzlich die Rolle einer sogenannten „Carus Green </w:t>
      </w:r>
      <w:proofErr w:type="spellStart"/>
      <w:r>
        <w:t>Botschafter:in</w:t>
      </w:r>
      <w:proofErr w:type="spellEnd"/>
      <w:r>
        <w:t xml:space="preserve">“ inne haben um mit dem Umwelt-, Abfall- und Energiemanagement der Hochschulmedizin im engen </w:t>
      </w:r>
      <w:proofErr w:type="spellStart"/>
      <w:r>
        <w:t>Ausstausch</w:t>
      </w:r>
      <w:proofErr w:type="spellEnd"/>
      <w:r>
        <w:t xml:space="preserve"> zu stehen. Nähre Informationen dazu finden Sie hier:</w:t>
      </w:r>
      <w:r>
        <w:br/>
      </w:r>
      <w:hyperlink r:id="rId18" w:history="1">
        <w:r w:rsidRPr="007F1BB7">
          <w:rPr>
            <w:rStyle w:val="Hyperlink"/>
          </w:rPr>
          <w:t>https://carusnet.med.tu-dresden.de/Service/carus-green/news/copy_of_carus-green-unsere-umwelt-initiative-sucht-sie</w:t>
        </w:r>
      </w:hyperlink>
      <w:r>
        <w:t>.</w:t>
      </w:r>
    </w:p>
    <w:p w14:paraId="4A70C2D9" w14:textId="6224019C" w:rsidR="000C0D5E" w:rsidRPr="00954189" w:rsidRDefault="007F1BB7" w:rsidP="007F1BB7">
      <w:pPr>
        <w:pStyle w:val="pFlietextText"/>
      </w:pPr>
      <w:r>
        <w:t>Die</w:t>
      </w:r>
      <w:r w:rsidR="000C0D5E" w:rsidRPr="00954189">
        <w:t xml:space="preserve"> TUD ist bestrebt, globale Umweltprobleme durch nachhaltige Maßnahmen anzugehen. Die Universität hat sich zum Ziel gesetzt, in Bezug auf effiziente Ressourcennutzung, Umweltschutz und verantwortungsbewusstes Handeln eine Vorreiterrolle einzunehmen.  </w:t>
      </w:r>
    </w:p>
    <w:p w14:paraId="62EFD154" w14:textId="77777777" w:rsidR="000C0D5E" w:rsidRPr="00954189" w:rsidRDefault="000C0D5E" w:rsidP="00F76CE9">
      <w:pPr>
        <w:pStyle w:val="pFlietextText"/>
      </w:pPr>
      <w:bookmarkStart w:id="134" w:name="_Toc184641632"/>
      <w:r w:rsidRPr="00F76CE9">
        <w:rPr>
          <w:rStyle w:val="SemiboldSchriftschnitte"/>
        </w:rPr>
        <w:t>Strategie</w:t>
      </w:r>
      <w:bookmarkEnd w:id="134"/>
      <w:r w:rsidRPr="00F76CE9">
        <w:rPr>
          <w:rStyle w:val="SemiboldSchriftschnitte"/>
        </w:rPr>
        <w:t>:</w:t>
      </w:r>
      <w:r w:rsidRPr="00954189">
        <w:t xml:space="preserve"> Die TUD hat eine umfassende Nachhaltigkeitsstrategie in sechs Handlungsfeldern erarbeitet: </w:t>
      </w:r>
      <w:proofErr w:type="spellStart"/>
      <w:r w:rsidRPr="00954189">
        <w:t>Governance</w:t>
      </w:r>
      <w:proofErr w:type="spellEnd"/>
      <w:r w:rsidRPr="00954189">
        <w:t>, Campus und Betrieb, Forschung, Lehre, Digitalisierung sowie Dialog und Transfer. Die Strategie zielt darauf ab, bis 2035 Klimaneutralität zu erreichen, den Ressourcenverbrauch zu minimieren und eine nachhaltige Entwicklung zu fördern.</w:t>
      </w:r>
    </w:p>
    <w:p w14:paraId="253E5CD5" w14:textId="77777777" w:rsidR="000C0D5E" w:rsidRPr="00954189" w:rsidRDefault="000C0D5E" w:rsidP="00F76CE9">
      <w:pPr>
        <w:pStyle w:val="pFlietextText"/>
      </w:pPr>
      <w:bookmarkStart w:id="135" w:name="_Toc184641633"/>
      <w:r w:rsidRPr="00F76CE9">
        <w:rPr>
          <w:rStyle w:val="SemiboldSchriftschnitte"/>
        </w:rPr>
        <w:t>Forschung und Lehre</w:t>
      </w:r>
      <w:bookmarkEnd w:id="135"/>
      <w:r w:rsidRPr="00F76CE9">
        <w:rPr>
          <w:rStyle w:val="SemiboldSchriftschnitte"/>
        </w:rPr>
        <w:t xml:space="preserve">: </w:t>
      </w:r>
      <w:r w:rsidRPr="00F76CE9">
        <w:rPr>
          <w:rStyle w:val="SemiboldSchriftschnitte"/>
          <w:b w:val="0"/>
        </w:rPr>
        <w:t>Die</w:t>
      </w:r>
      <w:r w:rsidRPr="00954189">
        <w:t xml:space="preserve"> Universität führt Forschung zu Umwelt- und Klimafragen durch und unterstützt einen nachhaltigen gesellschaftlichen Wandel. Die TUD integriert Nachhaltigkeit in ihre Lehrpläne, um den Studierenden das notwendige Wissen und die Fähigkeiten für verantwortungsbewusstes Handeln zu vermitteln.</w:t>
      </w:r>
    </w:p>
    <w:p w14:paraId="647C1EA2" w14:textId="77777777" w:rsidR="000C0D5E" w:rsidRPr="00954189" w:rsidRDefault="000C0D5E" w:rsidP="00F76CE9">
      <w:pPr>
        <w:pStyle w:val="pFlietextText"/>
      </w:pPr>
      <w:bookmarkStart w:id="136" w:name="_Toc184641634"/>
      <w:r w:rsidRPr="00F76CE9">
        <w:rPr>
          <w:b/>
        </w:rPr>
        <w:t>Campus und Betrieb</w:t>
      </w:r>
      <w:bookmarkEnd w:id="136"/>
      <w:r w:rsidRPr="00F76CE9">
        <w:rPr>
          <w:b/>
        </w:rPr>
        <w:t>:</w:t>
      </w:r>
      <w:r w:rsidRPr="00954189">
        <w:t xml:space="preserve"> Die TUD arbeitet durch die Umsetzung von Energiesparmaßnahmen, die Reduzierung von Abfall und die Förderung nachhaltiger Verkehrsmittel auf einen grünen Campus hin. Die Universität legt außerdem Wert darauf, Gebäude nach Nachhaltigkeitsstandards zu bauen und zu renovieren.</w:t>
      </w:r>
    </w:p>
    <w:p w14:paraId="08B02318" w14:textId="77777777" w:rsidR="000C0D5E" w:rsidRPr="00954189" w:rsidRDefault="000C0D5E" w:rsidP="00F76CE9">
      <w:pPr>
        <w:pStyle w:val="pFlietextText"/>
      </w:pPr>
      <w:bookmarkStart w:id="137" w:name="_Toc184641635"/>
      <w:r w:rsidRPr="00F76CE9">
        <w:rPr>
          <w:b/>
        </w:rPr>
        <w:t>Herausforderungen und Chancen</w:t>
      </w:r>
      <w:bookmarkEnd w:id="137"/>
      <w:r w:rsidRPr="00F76CE9">
        <w:rPr>
          <w:b/>
        </w:rPr>
        <w:t>:</w:t>
      </w:r>
      <w:r w:rsidRPr="00954189">
        <w:t xml:space="preserve"> Der Betrieb von Laboren ist mit einem hohen Ressourcenverbrauch verbunden, und die TUD reagiert darauf durch Initiativen wie den Green Lab Guide. Die Universität erkennt die Bedeutung der Digitalisierung an, möchte jedoch sicherstellen, dass diese ökologisch nachhaltig und fair erfolgt.</w:t>
      </w:r>
    </w:p>
    <w:p w14:paraId="683EF4F5" w14:textId="77777777" w:rsidR="000C0D5E" w:rsidRPr="00954189" w:rsidRDefault="000C0D5E" w:rsidP="00F76CE9">
      <w:pPr>
        <w:pStyle w:val="pFlietextText"/>
      </w:pPr>
      <w:bookmarkStart w:id="138" w:name="_Toc184641636"/>
      <w:r w:rsidRPr="00F76CE9">
        <w:rPr>
          <w:b/>
        </w:rPr>
        <w:t>Zusammenarbeit und Engagement</w:t>
      </w:r>
      <w:bookmarkEnd w:id="138"/>
      <w:r w:rsidRPr="00F76CE9">
        <w:rPr>
          <w:b/>
        </w:rPr>
        <w:t>:</w:t>
      </w:r>
      <w:r w:rsidRPr="00954189">
        <w:t xml:space="preserve"> Die TUD legt großen Wert auf die Zusammenarbeit zwischen Studierenden, Mitarbeitenden und der Gesellschaft, um ihre Nachhaltigkeitsziele zu erreichen. Die Universität beteiligt sich aktiv an der öffentlichen Debatte über nachhaltige Entwicklung und versucht, Einfluss auf politische Entscheidungsträger zu nehmen.</w:t>
      </w:r>
    </w:p>
    <w:p w14:paraId="52483F68" w14:textId="77777777" w:rsidR="000C0D5E" w:rsidRPr="00954189" w:rsidRDefault="000C0D5E" w:rsidP="00F76CE9">
      <w:pPr>
        <w:pStyle w:val="pFlietextText"/>
      </w:pPr>
      <w:r w:rsidRPr="00954189">
        <w:t>Es gibt viele Möglichkeiten, wie Sie mit minimalem Aufwand die Nachhaltigkeit in Ihrem Arbeits- und Studienalltag verbessern können. Hier finden Sie finden Tipps zum Energiesparen, zu nachhaltiger Mobilität, zum Ausleihen von Lastenfahrrädern, zum umweltfreundlichen Einkaufen und zur nachhaltigen Planung von Veranstaltungen und Besprechungen:</w:t>
      </w:r>
    </w:p>
    <w:p w14:paraId="38B561E8" w14:textId="77777777" w:rsidR="000C0D5E" w:rsidRPr="00954189" w:rsidRDefault="00F7241F" w:rsidP="00F76CE9">
      <w:pPr>
        <w:pStyle w:val="pFlietextText"/>
      </w:pPr>
      <w:hyperlink r:id="rId19" w:history="1">
        <w:r w:rsidR="000C0D5E" w:rsidRPr="00954189">
          <w:rPr>
            <w:rStyle w:val="Hyperlink"/>
          </w:rPr>
          <w:t>https://tu-dresden.de/tu-dresden/nachhaltigkeit/mitmachen/nachhaltigkeit-im-hochschulalltag/</w:t>
        </w:r>
      </w:hyperlink>
    </w:p>
    <w:p w14:paraId="2179D50E" w14:textId="77777777" w:rsidR="000E4A03" w:rsidRDefault="000E4A03" w:rsidP="00F76CE9">
      <w:bookmarkStart w:id="139" w:name="_Toc209166339"/>
    </w:p>
    <w:p w14:paraId="59EF3068" w14:textId="77777777" w:rsidR="000E4A03" w:rsidRDefault="000E4A03">
      <w:pPr>
        <w:spacing w:after="160" w:line="276" w:lineRule="auto"/>
        <w:jc w:val="left"/>
      </w:pPr>
      <w:r>
        <w:br w:type="page"/>
      </w:r>
    </w:p>
    <w:p w14:paraId="4820FA12" w14:textId="42189AB7" w:rsidR="00F76CE9" w:rsidRDefault="00F76CE9" w:rsidP="0092352F">
      <w:pPr>
        <w:pStyle w:val="berschrift1"/>
        <w:rPr>
          <w:caps/>
        </w:rPr>
      </w:pPr>
      <w:bookmarkStart w:id="140" w:name="_Toc227246691"/>
      <w:r w:rsidRPr="0092352F">
        <w:rPr>
          <w:caps/>
        </w:rPr>
        <w:t>Checkliste Green Lab</w:t>
      </w:r>
      <w:bookmarkEnd w:id="139"/>
      <w:r w:rsidR="007B0F75">
        <w:rPr>
          <w:caps/>
        </w:rPr>
        <w:t xml:space="preserve"> MF</w:t>
      </w:r>
      <w:bookmarkEnd w:id="140"/>
    </w:p>
    <w:p w14:paraId="34265AC8" w14:textId="6B4DD9FF" w:rsidR="003C4B84" w:rsidRPr="007B0F75" w:rsidRDefault="00991910" w:rsidP="008F3C3F">
      <w:pPr>
        <w:spacing w:after="0"/>
      </w:pPr>
      <w:r w:rsidRPr="00C8222C">
        <w:t xml:space="preserve">Achtung! Diese Checkliste soll Ihnen erste Hinweise geben. Sie ist nicht gleichzusetzen mit der Checkliste zum </w:t>
      </w:r>
      <w:proofErr w:type="spellStart"/>
      <w:r w:rsidRPr="00C8222C">
        <w:t>Self</w:t>
      </w:r>
      <w:proofErr w:type="spellEnd"/>
      <w:r w:rsidRPr="00C8222C">
        <w:t xml:space="preserve"> Assessment im Rahmen des Green Lab TUD </w:t>
      </w:r>
      <w:proofErr w:type="spellStart"/>
      <w:r w:rsidRPr="00C8222C">
        <w:t>Program</w:t>
      </w:r>
      <w:proofErr w:type="spellEnd"/>
      <w:r w:rsidRPr="00C8222C">
        <w:t xml:space="preserve">. Information zum Green Lab TUD </w:t>
      </w:r>
      <w:proofErr w:type="spellStart"/>
      <w:r w:rsidRPr="00C8222C">
        <w:t>Program</w:t>
      </w:r>
      <w:proofErr w:type="spellEnd"/>
      <w:r w:rsidRPr="00C8222C">
        <w:t xml:space="preserve"> finden Sie im TUD Intranet unter</w:t>
      </w:r>
      <w:r>
        <w:t xml:space="preserve"> </w:t>
      </w:r>
      <w:hyperlink r:id="rId20" w:history="1">
        <w:r w:rsidR="00C8222C" w:rsidRPr="00636099">
          <w:rPr>
            <w:rStyle w:val="Hyperlink"/>
          </w:rPr>
          <w:t>https://intranet.tu-dresden.de/x/RI7GLQ</w:t>
        </w:r>
      </w:hyperlink>
      <w:r w:rsidR="00C8222C">
        <w:t xml:space="preserve"> .</w:t>
      </w:r>
    </w:p>
    <w:p w14:paraId="3E75871E" w14:textId="77777777" w:rsidR="00F76CE9" w:rsidRPr="00ED22EA" w:rsidRDefault="00F76CE9" w:rsidP="000E4A03">
      <w:pPr>
        <w:pStyle w:val="berschrift2"/>
      </w:pPr>
      <w:bookmarkStart w:id="141" w:name="_Toc184641585"/>
      <w:bookmarkStart w:id="142" w:name="_Toc209171424"/>
      <w:bookmarkStart w:id="143" w:name="_Toc227246692"/>
      <w:r w:rsidRPr="00ED22EA">
        <w:t>Abfallmanagement</w:t>
      </w:r>
      <w:bookmarkEnd w:id="141"/>
      <w:bookmarkEnd w:id="142"/>
      <w:bookmarkEnd w:id="143"/>
    </w:p>
    <w:p w14:paraId="3DCD6948" w14:textId="77777777" w:rsidR="00F76CE9" w:rsidRPr="00ED22EA" w:rsidRDefault="00F76CE9" w:rsidP="000E4A03">
      <w:pPr>
        <w:pStyle w:val="LIstePunkt"/>
        <w:numPr>
          <w:ilvl w:val="0"/>
          <w:numId w:val="10"/>
        </w:numPr>
      </w:pPr>
      <w:r w:rsidRPr="00ED22EA">
        <w:t>Überlegen Sie sich Strategien zur Reduzierung von Labormaterial.</w:t>
      </w:r>
    </w:p>
    <w:p w14:paraId="0C4CD1C4" w14:textId="77777777" w:rsidR="00F76CE9" w:rsidRPr="00ED22EA" w:rsidRDefault="00F76CE9" w:rsidP="000E4A03">
      <w:pPr>
        <w:pStyle w:val="LIstePunkt"/>
        <w:numPr>
          <w:ilvl w:val="0"/>
          <w:numId w:val="10"/>
        </w:numPr>
      </w:pPr>
      <w:r w:rsidRPr="00ED22EA">
        <w:t>Verwenden Sie wiederverwendbare Materialien und minimieren Sie den Einsatz von Einwegartikeln aus Kunststoff.</w:t>
      </w:r>
    </w:p>
    <w:p w14:paraId="7A18012D" w14:textId="0D1BD277" w:rsidR="00F76CE9" w:rsidRPr="00ED22EA" w:rsidRDefault="00F76CE9" w:rsidP="00854BFE">
      <w:pPr>
        <w:pStyle w:val="LIstePunkt"/>
        <w:numPr>
          <w:ilvl w:val="0"/>
          <w:numId w:val="10"/>
        </w:numPr>
      </w:pPr>
      <w:r w:rsidRPr="00ED22EA">
        <w:t xml:space="preserve">Prüfen Sie, bevor Sie Gegenstände entsorgen, weil sie anscheinend defekt sind, ob diese </w:t>
      </w:r>
      <w:r w:rsidR="007F1BB7">
        <w:t xml:space="preserve">z. B. von der Medizintechnik des UKD </w:t>
      </w:r>
      <w:r w:rsidR="007F1BB7" w:rsidRPr="00ED22EA">
        <w:t>repariert werden können.</w:t>
      </w:r>
      <w:r w:rsidR="007F1BB7">
        <w:t xml:space="preserve"> (Kontakt: </w:t>
      </w:r>
      <w:r w:rsidR="007F1BB7" w:rsidRPr="002968BE">
        <w:t>Holger.Bauermeister@uniklinikum-dresden.de</w:t>
      </w:r>
      <w:r w:rsidR="007F1BB7">
        <w:t>)</w:t>
      </w:r>
    </w:p>
    <w:p w14:paraId="05F2054D" w14:textId="722AE84A" w:rsidR="00F76CE9" w:rsidRPr="00ED22EA" w:rsidRDefault="00F76CE9" w:rsidP="000E4A03">
      <w:pPr>
        <w:pStyle w:val="LIstePunkt"/>
        <w:numPr>
          <w:ilvl w:val="0"/>
          <w:numId w:val="10"/>
        </w:numPr>
      </w:pPr>
      <w:r w:rsidRPr="00ED22EA">
        <w:t>Trennen Sie im Labor ihre anfallenden Abfälle (Laborabfall -B-</w:t>
      </w:r>
      <w:r w:rsidR="0011233E">
        <w:t>Abfall</w:t>
      </w:r>
      <w:r w:rsidRPr="00ED22EA">
        <w:t>, Papier/Pappe, Grüner Punkt).</w:t>
      </w:r>
    </w:p>
    <w:p w14:paraId="30C20875" w14:textId="09632B19" w:rsidR="00F76CE9" w:rsidRPr="00ED22EA" w:rsidRDefault="00F76CE9" w:rsidP="000E4A03">
      <w:pPr>
        <w:pStyle w:val="LIstePunkt"/>
        <w:numPr>
          <w:ilvl w:val="0"/>
          <w:numId w:val="10"/>
        </w:numPr>
      </w:pPr>
      <w:r w:rsidRPr="00ED22EA">
        <w:t>Entsorgen Sie weitere Abfälle nach Angaben im Abfallwegweiser (Stichwort gefährliche Abfälle</w:t>
      </w:r>
      <w:r w:rsidR="0011233E">
        <w:t xml:space="preserve"> und Wertstoffe</w:t>
      </w:r>
      <w:r w:rsidRPr="00ED22EA">
        <w:t>, S1/S2-Abfall).</w:t>
      </w:r>
    </w:p>
    <w:p w14:paraId="1ECB2DCC" w14:textId="77777777" w:rsidR="00F76CE9" w:rsidRPr="00ED22EA" w:rsidRDefault="00F76CE9" w:rsidP="000E4A03">
      <w:pPr>
        <w:pStyle w:val="LIstePunkt"/>
        <w:numPr>
          <w:ilvl w:val="0"/>
          <w:numId w:val="10"/>
        </w:numPr>
      </w:pPr>
      <w:r w:rsidRPr="00ED22EA">
        <w:t>Prüfen Sie, ob Sie Abfallmengen an Chemikalien/ gefährlichen Abfälle durch Verringerung der eingesetzten Chemikalien reduzieren können</w:t>
      </w:r>
    </w:p>
    <w:p w14:paraId="73A8B4E9" w14:textId="77777777" w:rsidR="00F76CE9" w:rsidRPr="00ED22EA" w:rsidRDefault="00F76CE9" w:rsidP="000E4A03">
      <w:pPr>
        <w:pStyle w:val="LIstePunkt"/>
        <w:numPr>
          <w:ilvl w:val="0"/>
          <w:numId w:val="10"/>
        </w:numPr>
      </w:pPr>
      <w:r w:rsidRPr="00ED22EA">
        <w:t xml:space="preserve">Sammeln Sie </w:t>
      </w:r>
      <w:proofErr w:type="spellStart"/>
      <w:r w:rsidRPr="00ED22EA">
        <w:t>Pipettenspitzenboxen</w:t>
      </w:r>
      <w:proofErr w:type="spellEnd"/>
      <w:r w:rsidRPr="00ED22EA">
        <w:t xml:space="preserve"> und reine Polypropylen-Kunststoffe (PP) separat, Abwurfmöglichkeit im MTZ, Kontakt KH-Ökologie 458-4085. </w:t>
      </w:r>
    </w:p>
    <w:p w14:paraId="2A314BA0" w14:textId="77777777" w:rsidR="00F76CE9" w:rsidRPr="00ED22EA" w:rsidRDefault="00F76CE9" w:rsidP="000E4A03">
      <w:pPr>
        <w:pStyle w:val="berschrift2"/>
      </w:pPr>
      <w:bookmarkStart w:id="144" w:name="_Toc184641586"/>
      <w:bookmarkStart w:id="145" w:name="_Toc209171425"/>
      <w:bookmarkStart w:id="146" w:name="_Toc227246693"/>
      <w:r w:rsidRPr="00ED22EA">
        <w:t>Beschaffung</w:t>
      </w:r>
      <w:bookmarkEnd w:id="144"/>
      <w:bookmarkEnd w:id="145"/>
      <w:bookmarkEnd w:id="146"/>
    </w:p>
    <w:p w14:paraId="402F1211" w14:textId="77777777" w:rsidR="00F76CE9" w:rsidRPr="00ED22EA" w:rsidRDefault="00F76CE9" w:rsidP="002C2330">
      <w:pPr>
        <w:pStyle w:val="LIstePunkt"/>
        <w:numPr>
          <w:ilvl w:val="0"/>
          <w:numId w:val="11"/>
        </w:numPr>
      </w:pPr>
      <w:r w:rsidRPr="00ED22EA">
        <w:t>Teilen Sie Geräte mit anderen Arbeitsgruppen oder leihen Sie sich Geräte aus.</w:t>
      </w:r>
    </w:p>
    <w:p w14:paraId="68D4E0F4" w14:textId="77777777" w:rsidR="00F76CE9" w:rsidRPr="00ED22EA" w:rsidRDefault="00F76CE9" w:rsidP="002C2330">
      <w:pPr>
        <w:pStyle w:val="LIstePunkt"/>
        <w:numPr>
          <w:ilvl w:val="0"/>
          <w:numId w:val="11"/>
        </w:numPr>
      </w:pPr>
      <w:r w:rsidRPr="00ED22EA">
        <w:t>Optimieren Sie Ihre Bestellungen und vermeiden Sie zu hohe Bestellmengen, um die Lagerkapazitäten (Platzbedarf und Energieverbrauch) zu verringern. Bündeln Sie Bestellungen, um den Versand zu minimieren.</w:t>
      </w:r>
    </w:p>
    <w:p w14:paraId="49C6D51F" w14:textId="77777777" w:rsidR="00F76CE9" w:rsidRPr="00ED22EA" w:rsidRDefault="00F76CE9" w:rsidP="002C2330">
      <w:pPr>
        <w:pStyle w:val="LIstePunkt"/>
        <w:numPr>
          <w:ilvl w:val="0"/>
          <w:numId w:val="11"/>
        </w:numPr>
      </w:pPr>
      <w:r w:rsidRPr="00ED22EA">
        <w:t>Prüfen Sie, ob verschiedene Chemikalien durch „Grüne Chemie/ Chemikalien“ ersetzt werden können.</w:t>
      </w:r>
    </w:p>
    <w:p w14:paraId="6BEACFFD" w14:textId="77777777" w:rsidR="00F76CE9" w:rsidRPr="00ED22EA" w:rsidRDefault="00F76CE9" w:rsidP="002C2330">
      <w:pPr>
        <w:pStyle w:val="LIstePunkt"/>
        <w:numPr>
          <w:ilvl w:val="0"/>
          <w:numId w:val="11"/>
        </w:numPr>
      </w:pPr>
      <w:r w:rsidRPr="00ED22EA">
        <w:t>Nutzen Sie ein System zur Nachverfolgung und Verwaltung von Chemikalienbeständen, um Überbestände zu minimieren.</w:t>
      </w:r>
    </w:p>
    <w:p w14:paraId="2A3A12ED" w14:textId="77777777" w:rsidR="00F76CE9" w:rsidRPr="00ED22EA" w:rsidRDefault="00F76CE9" w:rsidP="002C2330">
      <w:pPr>
        <w:pStyle w:val="LIstePunkt"/>
        <w:numPr>
          <w:ilvl w:val="0"/>
          <w:numId w:val="11"/>
        </w:numPr>
      </w:pPr>
      <w:r w:rsidRPr="00ED22EA">
        <w:t>Führen Sie ein Inventarsystem (z. B, mit Excel) zur Nachverfolgung für Labormaterialien ein.</w:t>
      </w:r>
    </w:p>
    <w:p w14:paraId="10F4C4E0" w14:textId="77777777" w:rsidR="00F76CE9" w:rsidRPr="00ED22EA" w:rsidRDefault="00F76CE9" w:rsidP="002C2330">
      <w:pPr>
        <w:pStyle w:val="LIstePunkt"/>
        <w:numPr>
          <w:ilvl w:val="0"/>
          <w:numId w:val="11"/>
        </w:numPr>
      </w:pPr>
      <w:r w:rsidRPr="00ED22EA">
        <w:t>Führen Sie regelmäßige Lagerkontrollen durch, um abgelaufene oder nicht mehr benötigte Proben auszusortieren.</w:t>
      </w:r>
    </w:p>
    <w:p w14:paraId="19317063" w14:textId="77777777" w:rsidR="00F76CE9" w:rsidRPr="00ED22EA" w:rsidRDefault="00F76CE9" w:rsidP="002C2330">
      <w:pPr>
        <w:pStyle w:val="LIstePunkt"/>
        <w:numPr>
          <w:ilvl w:val="0"/>
          <w:numId w:val="11"/>
        </w:numPr>
      </w:pPr>
      <w:r w:rsidRPr="00ED22EA">
        <w:t>Wählen Sie hochwertige, langlebige Produkte (Garantiedauer, Reparaturfähigkeit) aus.</w:t>
      </w:r>
    </w:p>
    <w:p w14:paraId="18B1437C" w14:textId="77777777" w:rsidR="00F76CE9" w:rsidRPr="00ED22EA" w:rsidRDefault="00F76CE9" w:rsidP="002C2330">
      <w:pPr>
        <w:pStyle w:val="LIstePunkt"/>
        <w:numPr>
          <w:ilvl w:val="0"/>
          <w:numId w:val="11"/>
        </w:numPr>
      </w:pPr>
      <w:r w:rsidRPr="00ED22EA">
        <w:t xml:space="preserve">Achten Sie beim Kauf neuer Geräte auf Zertifizierungen wie Blauer Engel, </w:t>
      </w:r>
      <w:proofErr w:type="spellStart"/>
      <w:r w:rsidRPr="00ED22EA">
        <w:t>Energy</w:t>
      </w:r>
      <w:proofErr w:type="spellEnd"/>
      <w:r w:rsidRPr="00ED22EA">
        <w:t xml:space="preserve"> Star, EU-Umweltzeichen oder ähnliches.</w:t>
      </w:r>
    </w:p>
    <w:p w14:paraId="6376A464" w14:textId="77777777" w:rsidR="00F76CE9" w:rsidRPr="00ED22EA" w:rsidRDefault="00F76CE9" w:rsidP="002C2330">
      <w:pPr>
        <w:pStyle w:val="LIstePunkt"/>
        <w:numPr>
          <w:ilvl w:val="0"/>
          <w:numId w:val="11"/>
        </w:numPr>
      </w:pPr>
      <w:r w:rsidRPr="00ED22EA">
        <w:t>Bevorzugen Sie Lieferanten, die Transportverpackungen minimieren oder ein Rücknahmesystem anbieten.</w:t>
      </w:r>
    </w:p>
    <w:p w14:paraId="598D80F2" w14:textId="77777777" w:rsidR="00F76CE9" w:rsidRPr="00ED22EA" w:rsidRDefault="00F76CE9" w:rsidP="002C2330">
      <w:pPr>
        <w:pStyle w:val="LIstePunkt"/>
        <w:numPr>
          <w:ilvl w:val="0"/>
          <w:numId w:val="11"/>
        </w:numPr>
      </w:pPr>
      <w:r w:rsidRPr="00ED22EA">
        <w:t>Verwenden Sie kleinere Labormaterialien, z. B. kleinere Petrischalen, wenn dies für das Experiment möglich ist.</w:t>
      </w:r>
    </w:p>
    <w:p w14:paraId="24989DFB" w14:textId="27310F3E" w:rsidR="00F76CE9" w:rsidRPr="00ED22EA" w:rsidRDefault="00F76CE9" w:rsidP="002C2330">
      <w:pPr>
        <w:pStyle w:val="LIstePunkt"/>
        <w:numPr>
          <w:ilvl w:val="0"/>
          <w:numId w:val="11"/>
        </w:numPr>
      </w:pPr>
      <w:r w:rsidRPr="00ED22EA">
        <w:t xml:space="preserve">Kaufen Sie </w:t>
      </w:r>
      <w:proofErr w:type="spellStart"/>
      <w:r w:rsidRPr="00ED22EA">
        <w:t>Pipettens</w:t>
      </w:r>
      <w:r w:rsidR="00A91B41">
        <w:t>pitzen</w:t>
      </w:r>
      <w:proofErr w:type="spellEnd"/>
      <w:r w:rsidR="00A91B41">
        <w:t xml:space="preserve"> lose in größeren Mengen und </w:t>
      </w:r>
      <w:r w:rsidRPr="00ED22EA">
        <w:t>stecken</w:t>
      </w:r>
      <w:r w:rsidR="00A91B41">
        <w:t xml:space="preserve"> Sie</w:t>
      </w:r>
      <w:r w:rsidRPr="00ED22EA">
        <w:t xml:space="preserve"> diese selbst, sollte es die Personalsituation zulassen</w:t>
      </w:r>
      <w:r w:rsidR="00A45696">
        <w:t>.</w:t>
      </w:r>
    </w:p>
    <w:p w14:paraId="0DF16667" w14:textId="77777777" w:rsidR="00F76CE9" w:rsidRPr="00ED22EA" w:rsidRDefault="00F76CE9" w:rsidP="000E4A03">
      <w:pPr>
        <w:pStyle w:val="berschrift2"/>
      </w:pPr>
      <w:bookmarkStart w:id="147" w:name="_Toc184641587"/>
      <w:bookmarkStart w:id="148" w:name="_Toc209171426"/>
      <w:bookmarkStart w:id="149" w:name="_Toc227246694"/>
      <w:r w:rsidRPr="00ED22EA">
        <w:t>Ausstattung und Infrastruktur</w:t>
      </w:r>
      <w:bookmarkEnd w:id="147"/>
      <w:bookmarkEnd w:id="148"/>
      <w:bookmarkEnd w:id="149"/>
    </w:p>
    <w:p w14:paraId="00F22416" w14:textId="77777777" w:rsidR="00F76CE9" w:rsidRPr="00ED22EA" w:rsidRDefault="00F76CE9" w:rsidP="002C2330">
      <w:pPr>
        <w:pStyle w:val="LIstePunkt"/>
        <w:numPr>
          <w:ilvl w:val="0"/>
          <w:numId w:val="12"/>
        </w:numPr>
      </w:pPr>
      <w:r w:rsidRPr="00ED22EA">
        <w:t>Nutzen Sie das Dresden Technology Portal, um nach spezifischen Geräten, komplexen Systemen oder Dienstleistungsangeboten für Ihre Forschung zu suchen.</w:t>
      </w:r>
    </w:p>
    <w:p w14:paraId="645F08FA" w14:textId="77777777" w:rsidR="00F76CE9" w:rsidRPr="00ED22EA" w:rsidRDefault="00F76CE9" w:rsidP="002C2330">
      <w:pPr>
        <w:pStyle w:val="LIstePunkt"/>
        <w:numPr>
          <w:ilvl w:val="0"/>
          <w:numId w:val="12"/>
        </w:numPr>
        <w:jc w:val="left"/>
      </w:pPr>
      <w:r w:rsidRPr="00ED22EA">
        <w:t xml:space="preserve">Nutzen Sie die Medizintechnik-Börse von UKD und MF </w:t>
      </w:r>
      <w:r w:rsidRPr="00ED22EA">
        <w:br/>
        <w:t>(</w:t>
      </w:r>
      <w:hyperlink r:id="rId21" w:history="1">
        <w:r w:rsidRPr="000E4A03">
          <w:rPr>
            <w:rStyle w:val="Hyperlink"/>
          </w:rPr>
          <w:t>https://carusnet.med.tu-dresden.de/Service/Verwertung/medizintechnikkiosk).</w:t>
        </w:r>
      </w:hyperlink>
    </w:p>
    <w:p w14:paraId="2CE84660" w14:textId="77777777" w:rsidR="00F76CE9" w:rsidRPr="00ED22EA" w:rsidRDefault="00F76CE9" w:rsidP="002C2330">
      <w:pPr>
        <w:pStyle w:val="LIstePunkt"/>
        <w:numPr>
          <w:ilvl w:val="0"/>
          <w:numId w:val="12"/>
        </w:numPr>
      </w:pPr>
      <w:r w:rsidRPr="00ED22EA">
        <w:t>Schalten Sie Geräte aus, wenn sie nicht in Gebrauch sind.</w:t>
      </w:r>
    </w:p>
    <w:p w14:paraId="65E090DD" w14:textId="77777777" w:rsidR="00F76CE9" w:rsidRPr="00ED22EA" w:rsidRDefault="00F76CE9" w:rsidP="002C2330">
      <w:pPr>
        <w:pStyle w:val="LIstePunkt"/>
        <w:numPr>
          <w:ilvl w:val="0"/>
          <w:numId w:val="12"/>
        </w:numPr>
      </w:pPr>
      <w:r w:rsidRPr="00ED22EA">
        <w:t>Drucken sie zweiseitig und schwarz-weiß, um Papier und Druckerfarbe und damit Ressourcen zu sparen.</w:t>
      </w:r>
    </w:p>
    <w:p w14:paraId="73224CC4" w14:textId="77777777" w:rsidR="00F76CE9" w:rsidRPr="00ED22EA" w:rsidRDefault="00F76CE9" w:rsidP="002C2330">
      <w:pPr>
        <w:pStyle w:val="LIstePunkt"/>
        <w:numPr>
          <w:ilvl w:val="0"/>
          <w:numId w:val="12"/>
        </w:numPr>
      </w:pPr>
      <w:r w:rsidRPr="00ED22EA">
        <w:t>Nutzen Sie die gemeinsamen Druckerstandorte und die Funktion „Zentraldruck“ zum Auslösen des Drucks am Zentraldrucker.</w:t>
      </w:r>
    </w:p>
    <w:p w14:paraId="05E7FD48" w14:textId="5279C4A0" w:rsidR="00F76CE9" w:rsidRPr="00ED22EA" w:rsidRDefault="00F76CE9" w:rsidP="002C2330">
      <w:pPr>
        <w:pStyle w:val="LIstePunkt"/>
        <w:numPr>
          <w:ilvl w:val="0"/>
          <w:numId w:val="12"/>
        </w:numPr>
      </w:pPr>
      <w:r w:rsidRPr="00ED22EA">
        <w:t>Stellen Sie zum Sammeln von Fehldrucken einen Sammelbehälter für Papier in der N</w:t>
      </w:r>
      <w:r w:rsidRPr="00ED22EA">
        <w:rPr>
          <w:rFonts w:hint="eastAsia"/>
        </w:rPr>
        <w:t>ä</w:t>
      </w:r>
      <w:r w:rsidRPr="00ED22EA">
        <w:t>he des/</w:t>
      </w:r>
      <w:proofErr w:type="gramStart"/>
      <w:r w:rsidRPr="00ED22EA">
        <w:t>der Druckers</w:t>
      </w:r>
      <w:proofErr w:type="gramEnd"/>
      <w:r w:rsidRPr="00ED22EA">
        <w:t>/Drucker auf</w:t>
      </w:r>
      <w:r w:rsidR="005777FA">
        <w:t xml:space="preserve"> und nutzen Sie diese für Notizen</w:t>
      </w:r>
      <w:r w:rsidRPr="00ED22EA">
        <w:t>.</w:t>
      </w:r>
    </w:p>
    <w:p w14:paraId="2FEC7339" w14:textId="77777777" w:rsidR="00F76CE9" w:rsidRPr="00ED22EA" w:rsidRDefault="00F76CE9" w:rsidP="002C2330">
      <w:pPr>
        <w:pStyle w:val="LIstePunkt"/>
        <w:numPr>
          <w:ilvl w:val="0"/>
          <w:numId w:val="12"/>
        </w:numPr>
      </w:pPr>
      <w:r w:rsidRPr="00ED22EA">
        <w:t>Verwenden Sie Recyclingpapier und nutzen Sie einseitig bedrucktes Papier weiter.</w:t>
      </w:r>
    </w:p>
    <w:p w14:paraId="1D0D10CD" w14:textId="77777777" w:rsidR="00F76CE9" w:rsidRPr="00ED22EA" w:rsidRDefault="00F76CE9" w:rsidP="002C2330">
      <w:pPr>
        <w:pStyle w:val="LIstePunkt"/>
        <w:numPr>
          <w:ilvl w:val="0"/>
          <w:numId w:val="12"/>
        </w:numPr>
      </w:pPr>
      <w:r w:rsidRPr="00ED22EA">
        <w:t>Kaufen Sie Zeitschriftenabonnements online und drucken Sie keine Artikel aus, um Papierm</w:t>
      </w:r>
      <w:r w:rsidRPr="00ED22EA">
        <w:rPr>
          <w:rFonts w:hint="eastAsia"/>
        </w:rPr>
        <w:t>ü</w:t>
      </w:r>
      <w:r w:rsidRPr="00ED22EA">
        <w:t>ll zu reduzieren.</w:t>
      </w:r>
    </w:p>
    <w:p w14:paraId="194A39B4" w14:textId="77777777" w:rsidR="00F76CE9" w:rsidRPr="00ED22EA" w:rsidRDefault="00F76CE9" w:rsidP="002C2330">
      <w:pPr>
        <w:pStyle w:val="berschrift2"/>
      </w:pPr>
      <w:bookmarkStart w:id="150" w:name="_Toc184641588"/>
      <w:bookmarkStart w:id="151" w:name="_Toc209171427"/>
      <w:bookmarkStart w:id="152" w:name="_Toc227246695"/>
      <w:r w:rsidRPr="00ED22EA">
        <w:t>Großgeräte</w:t>
      </w:r>
      <w:bookmarkEnd w:id="150"/>
      <w:bookmarkEnd w:id="151"/>
      <w:bookmarkEnd w:id="152"/>
    </w:p>
    <w:p w14:paraId="4F946ED4" w14:textId="77777777" w:rsidR="00F76CE9" w:rsidRPr="00ED22EA" w:rsidRDefault="00F76CE9" w:rsidP="002C2330">
      <w:pPr>
        <w:pStyle w:val="LIstePunkt"/>
      </w:pPr>
      <w:r w:rsidRPr="00ED22EA">
        <w:t xml:space="preserve">Schließen Sie Abzugshauben und biologische Sicherheitswerkbänke Immer nach Ende der Tätigkeit. Erinnern Sie ihre Kollegen regelmäßig daran. </w:t>
      </w:r>
    </w:p>
    <w:p w14:paraId="0C6C9CF3" w14:textId="77777777" w:rsidR="00F76CE9" w:rsidRPr="00ED22EA" w:rsidRDefault="00F76CE9" w:rsidP="002C2330">
      <w:pPr>
        <w:pStyle w:val="LIstePunkt"/>
      </w:pPr>
      <w:r w:rsidRPr="00ED22EA">
        <w:t>Verwenden Sie Geräte gemäß der Bedienungsanleitung um Schäden und damit Reparaturen oder gar Neuanschaffung zu vermeiden.</w:t>
      </w:r>
    </w:p>
    <w:p w14:paraId="3DCDD944" w14:textId="632B1800" w:rsidR="00F76CE9" w:rsidRPr="00ED22EA" w:rsidRDefault="00F76CE9" w:rsidP="002C2330">
      <w:pPr>
        <w:pStyle w:val="LIstePunkt"/>
      </w:pPr>
      <w:r w:rsidRPr="00ED22EA">
        <w:t>Benennen Sie Geräteverantwortliche, die Ersteinweisungen und regelmäßige Schulungen durchführen.</w:t>
      </w:r>
    </w:p>
    <w:p w14:paraId="1D14C804" w14:textId="77777777" w:rsidR="00F76CE9" w:rsidRPr="00ED22EA" w:rsidRDefault="00F76CE9" w:rsidP="002C2330">
      <w:pPr>
        <w:pStyle w:val="LIstePunkt"/>
      </w:pPr>
      <w:r w:rsidRPr="00ED22EA">
        <w:t>Lassen Sie regelmäßig die vorgesehenen Wartungsarbeiten an allen Geräten durchführen.</w:t>
      </w:r>
    </w:p>
    <w:p w14:paraId="414A11C7" w14:textId="77777777" w:rsidR="00F76CE9" w:rsidRPr="00ED22EA" w:rsidRDefault="00F76CE9" w:rsidP="002C2330">
      <w:pPr>
        <w:pStyle w:val="LIstePunkt"/>
      </w:pPr>
      <w:r w:rsidRPr="00ED22EA">
        <w:t>Sterilisieren Sie nur notwendige Gegenstände im Autoklav und lassen Sie den Autoklav nicht halbleer laufen.</w:t>
      </w:r>
    </w:p>
    <w:p w14:paraId="5198CE57" w14:textId="77777777" w:rsidR="00F76CE9" w:rsidRPr="00ED22EA" w:rsidRDefault="00F76CE9" w:rsidP="002C2330">
      <w:pPr>
        <w:pStyle w:val="berschrift2"/>
      </w:pPr>
      <w:bookmarkStart w:id="153" w:name="_Toc184641589"/>
      <w:bookmarkStart w:id="154" w:name="_Toc209171428"/>
      <w:bookmarkStart w:id="155" w:name="_Toc227246696"/>
      <w:r w:rsidRPr="00ED22EA">
        <w:t>Kühllagerung</w:t>
      </w:r>
      <w:bookmarkEnd w:id="153"/>
      <w:bookmarkEnd w:id="154"/>
      <w:bookmarkEnd w:id="155"/>
    </w:p>
    <w:p w14:paraId="6E30D1A5" w14:textId="77777777" w:rsidR="00F76CE9" w:rsidRPr="00ED22EA" w:rsidRDefault="00F76CE9" w:rsidP="002C2330">
      <w:pPr>
        <w:pStyle w:val="LIstePunkt"/>
      </w:pPr>
      <w:r w:rsidRPr="00ED22EA">
        <w:t>Teilen Sie sich einen Gefrierschrank mit einem benachbarten Labor.</w:t>
      </w:r>
    </w:p>
    <w:p w14:paraId="61E79250" w14:textId="77777777" w:rsidR="00F76CE9" w:rsidRPr="00ED22EA" w:rsidRDefault="00F76CE9" w:rsidP="002C2330">
      <w:pPr>
        <w:pStyle w:val="LIstePunkt"/>
      </w:pPr>
      <w:r w:rsidRPr="00ED22EA">
        <w:t>Erhöhen Sie die Gefrierschranktemperatur von -80°C auf -70°C und von -20°C auf -18°C.</w:t>
      </w:r>
    </w:p>
    <w:p w14:paraId="0BE4EC25" w14:textId="77777777" w:rsidR="00F76CE9" w:rsidRPr="00ED22EA" w:rsidRDefault="00F76CE9" w:rsidP="002C2330">
      <w:pPr>
        <w:pStyle w:val="LIstePunkt"/>
      </w:pPr>
      <w:r w:rsidRPr="00ED22EA">
        <w:t xml:space="preserve">Verwenden Sie ein Probenverwaltungssystem, um den Zeitaufwand für die Suche nach Proben zu reduzieren und Führen Sie regelmäßig Inventuren der Kühlgeräte durch und entfernen Sie nicht mehr benötigte Proben. </w:t>
      </w:r>
    </w:p>
    <w:p w14:paraId="6843FC30" w14:textId="77777777" w:rsidR="00F76CE9" w:rsidRPr="00ED22EA" w:rsidRDefault="00F76CE9" w:rsidP="002C2330">
      <w:pPr>
        <w:pStyle w:val="LIstePunkt"/>
      </w:pPr>
      <w:proofErr w:type="spellStart"/>
      <w:r w:rsidRPr="00ED22EA">
        <w:t>Tauen</w:t>
      </w:r>
      <w:proofErr w:type="spellEnd"/>
      <w:r w:rsidRPr="00ED22EA">
        <w:t xml:space="preserve"> Sie Kühl- und Gefrierschränke regelmäßig ab und reinigen Sie diese.</w:t>
      </w:r>
    </w:p>
    <w:p w14:paraId="132EB8D9" w14:textId="77777777" w:rsidR="00F76CE9" w:rsidRPr="00ED22EA" w:rsidRDefault="00F76CE9" w:rsidP="002C2330">
      <w:pPr>
        <w:pStyle w:val="berschrift2"/>
      </w:pPr>
      <w:bookmarkStart w:id="156" w:name="_Toc184641590"/>
      <w:bookmarkStart w:id="157" w:name="_Toc209171429"/>
      <w:bookmarkStart w:id="158" w:name="_Toc227246697"/>
      <w:r w:rsidRPr="00ED22EA">
        <w:t>Beleuchtung</w:t>
      </w:r>
      <w:bookmarkEnd w:id="156"/>
      <w:bookmarkEnd w:id="157"/>
      <w:bookmarkEnd w:id="158"/>
    </w:p>
    <w:p w14:paraId="02761688" w14:textId="77777777" w:rsidR="00F76CE9" w:rsidRPr="00ED22EA" w:rsidRDefault="00F76CE9" w:rsidP="002C2330">
      <w:pPr>
        <w:pStyle w:val="LIstePunkt"/>
      </w:pPr>
      <w:r w:rsidRPr="00ED22EA">
        <w:t>Schalten Sie das Licht aus und nutzen Sie Tageslicht oder Arbeitsplatzbeleuchtung.</w:t>
      </w:r>
    </w:p>
    <w:p w14:paraId="074B0DA4" w14:textId="77777777" w:rsidR="00F76CE9" w:rsidRPr="00ED22EA" w:rsidRDefault="00F76CE9" w:rsidP="002C2330">
      <w:pPr>
        <w:pStyle w:val="LIstePunkt"/>
      </w:pPr>
      <w:r w:rsidRPr="00ED22EA">
        <w:t>Denken Sie daran, das Licht auszuschalten, wenn Sie den Raum verlassen.</w:t>
      </w:r>
    </w:p>
    <w:p w14:paraId="655702D4" w14:textId="77777777" w:rsidR="00F76CE9" w:rsidRPr="00ED22EA" w:rsidRDefault="00F76CE9" w:rsidP="002C2330">
      <w:pPr>
        <w:pStyle w:val="berschrift2"/>
      </w:pPr>
      <w:bookmarkStart w:id="159" w:name="_Toc184641591"/>
      <w:bookmarkStart w:id="160" w:name="_Toc209171430"/>
      <w:bookmarkStart w:id="161" w:name="_Toc227246698"/>
      <w:r w:rsidRPr="00ED22EA">
        <w:t>IT</w:t>
      </w:r>
      <w:bookmarkEnd w:id="159"/>
      <w:bookmarkEnd w:id="160"/>
      <w:bookmarkEnd w:id="161"/>
    </w:p>
    <w:p w14:paraId="56145CF7" w14:textId="77777777" w:rsidR="00F76CE9" w:rsidRPr="00ED22EA" w:rsidRDefault="00F76CE9" w:rsidP="002C2330">
      <w:pPr>
        <w:pStyle w:val="LIstePunkt"/>
      </w:pPr>
      <w:r w:rsidRPr="00ED22EA">
        <w:t>Verwenden Sie Geräte so lange wie möglich und bitten Sie Ihren Administrator, sie nach Möglichkeit zu reparieren.</w:t>
      </w:r>
    </w:p>
    <w:p w14:paraId="663F581B" w14:textId="77777777" w:rsidR="00F76CE9" w:rsidRPr="00ED22EA" w:rsidRDefault="00F76CE9" w:rsidP="002C2330">
      <w:pPr>
        <w:pStyle w:val="LIstePunkt"/>
      </w:pPr>
      <w:r w:rsidRPr="00ED22EA">
        <w:t xml:space="preserve">Aktivieren Sie den Ruhemodus oder die automatische Abschaltung auf allen Computern und Druckern oder beauftragen Ihre IT-Abteilung damit. </w:t>
      </w:r>
    </w:p>
    <w:p w14:paraId="2723DEA0" w14:textId="77777777" w:rsidR="00F76CE9" w:rsidRPr="00ED22EA" w:rsidRDefault="00F76CE9" w:rsidP="002C2330">
      <w:pPr>
        <w:pStyle w:val="LIstePunkt"/>
      </w:pPr>
      <w:r w:rsidRPr="00ED22EA">
        <w:t xml:space="preserve">Suchen Sie im Internet mit </w:t>
      </w:r>
      <w:proofErr w:type="spellStart"/>
      <w:r w:rsidRPr="00ED22EA">
        <w:t>Ecosia</w:t>
      </w:r>
      <w:proofErr w:type="spellEnd"/>
      <w:r w:rsidRPr="00ED22EA">
        <w:t xml:space="preserve"> oder einer anderen ökologischen Suchmaschine wie </w:t>
      </w:r>
      <w:proofErr w:type="spellStart"/>
      <w:r w:rsidRPr="00ED22EA">
        <w:t>Gexsi</w:t>
      </w:r>
      <w:proofErr w:type="spellEnd"/>
      <w:r w:rsidRPr="00ED22EA">
        <w:t xml:space="preserve">, </w:t>
      </w:r>
      <w:proofErr w:type="spellStart"/>
      <w:r w:rsidRPr="00ED22EA">
        <w:t>Ekoru</w:t>
      </w:r>
      <w:proofErr w:type="spellEnd"/>
      <w:r w:rsidRPr="00ED22EA">
        <w:t xml:space="preserve">, Lilo oder </w:t>
      </w:r>
      <w:proofErr w:type="spellStart"/>
      <w:r w:rsidRPr="00ED22EA">
        <w:t>OceanHero</w:t>
      </w:r>
      <w:proofErr w:type="spellEnd"/>
      <w:r w:rsidRPr="00ED22EA">
        <w:t>.</w:t>
      </w:r>
    </w:p>
    <w:p w14:paraId="2620594C" w14:textId="77777777" w:rsidR="00F76CE9" w:rsidRPr="00ED22EA" w:rsidRDefault="00F76CE9" w:rsidP="002C2330">
      <w:pPr>
        <w:pStyle w:val="LIstePunkt"/>
      </w:pPr>
      <w:r w:rsidRPr="00ED22EA">
        <w:t xml:space="preserve">Führen Sie regelmäßig Datenbereinigungen ihres Mailservers oder ihrem Cloudservice durch, oder wenden sich damit an ihre IT Abteilung. </w:t>
      </w:r>
    </w:p>
    <w:p w14:paraId="420E82CA" w14:textId="0F4F767B" w:rsidR="00F76CE9" w:rsidRPr="00ED22EA" w:rsidRDefault="00F76CE9" w:rsidP="002C2330">
      <w:pPr>
        <w:pStyle w:val="LIstePunkt"/>
      </w:pPr>
      <w:r w:rsidRPr="00ED22EA">
        <w:t xml:space="preserve">Verwenden Sie in E-Mails Links zu einem Cloud-Space anstelle von </w:t>
      </w:r>
      <w:r w:rsidR="009A16B4">
        <w:t xml:space="preserve">großen </w:t>
      </w:r>
      <w:r w:rsidRPr="00ED22EA">
        <w:t>Anhängen.</w:t>
      </w:r>
    </w:p>
    <w:p w14:paraId="41BC527A" w14:textId="77777777" w:rsidR="00F76CE9" w:rsidRPr="00ED22EA" w:rsidRDefault="00F76CE9" w:rsidP="002C2330">
      <w:pPr>
        <w:pStyle w:val="LIstePunkt"/>
      </w:pPr>
      <w:r w:rsidRPr="00ED22EA">
        <w:t xml:space="preserve">Archivieren Sie Daten in einem </w:t>
      </w:r>
      <w:proofErr w:type="spellStart"/>
      <w:r w:rsidRPr="00ED22EA">
        <w:t>Cold</w:t>
      </w:r>
      <w:proofErr w:type="spellEnd"/>
      <w:r w:rsidRPr="00ED22EA">
        <w:t xml:space="preserve"> Storage (in Zusammenarbeit mit der IT-Abteilung).</w:t>
      </w:r>
    </w:p>
    <w:p w14:paraId="70B4FD04" w14:textId="77777777" w:rsidR="00F76CE9" w:rsidRPr="00ED22EA" w:rsidRDefault="00F76CE9" w:rsidP="002C2330">
      <w:pPr>
        <w:pStyle w:val="berschrift2"/>
      </w:pPr>
      <w:bookmarkStart w:id="162" w:name="_Toc184641594"/>
      <w:bookmarkStart w:id="163" w:name="_Toc209171431"/>
      <w:bookmarkStart w:id="164" w:name="_Toc227246699"/>
      <w:r w:rsidRPr="00ED22EA">
        <w:t>Weitergabe von Informationen</w:t>
      </w:r>
      <w:bookmarkEnd w:id="162"/>
      <w:bookmarkEnd w:id="163"/>
      <w:bookmarkEnd w:id="164"/>
    </w:p>
    <w:p w14:paraId="6A5B7577" w14:textId="77777777" w:rsidR="00F76CE9" w:rsidRPr="00ED22EA" w:rsidRDefault="00F76CE9" w:rsidP="002C2330">
      <w:pPr>
        <w:pStyle w:val="LIstePunkt"/>
      </w:pPr>
      <w:r w:rsidRPr="00ED22EA">
        <w:t>Motivieren Sie die Mitarbeitenden des Labors, neue Ideen für Nachhaltigkeitsmaßnahmen vorzuschlagen.</w:t>
      </w:r>
    </w:p>
    <w:p w14:paraId="51B64F8A" w14:textId="2C22CF17" w:rsidR="00F76CE9" w:rsidRPr="00ED22EA" w:rsidRDefault="00F76CE9" w:rsidP="002C2330">
      <w:pPr>
        <w:pStyle w:val="LIstePunkt"/>
      </w:pPr>
      <w:r w:rsidRPr="00ED22EA">
        <w:t xml:space="preserve">Ernennen Sie </w:t>
      </w:r>
      <w:proofErr w:type="spellStart"/>
      <w:proofErr w:type="gramStart"/>
      <w:r w:rsidRPr="00ED22EA">
        <w:t>eine:n</w:t>
      </w:r>
      <w:proofErr w:type="spellEnd"/>
      <w:proofErr w:type="gramEnd"/>
      <w:r w:rsidRPr="00ED22EA">
        <w:t xml:space="preserve"> </w:t>
      </w:r>
      <w:r w:rsidR="0011233E">
        <w:t>Carus Green-Botschafter</w:t>
      </w:r>
      <w:r w:rsidRPr="00ED22EA">
        <w:t xml:space="preserve">, um das Labor bei Besprechungen über die Nachhaltigkeitsinitiativen der TUD bzw. der Hochschulmedizin auf dem Laufenden zu halten. </w:t>
      </w:r>
    </w:p>
    <w:p w14:paraId="5A163DE5" w14:textId="19E6AB5E" w:rsidR="00F76CE9" w:rsidRPr="00ED22EA" w:rsidRDefault="00F76CE9" w:rsidP="002C2330">
      <w:pPr>
        <w:pStyle w:val="LIstePunkt"/>
      </w:pPr>
      <w:r w:rsidRPr="00ED22EA">
        <w:t>Bieten Sie z.</w:t>
      </w:r>
      <w:r w:rsidR="0011233E">
        <w:t> B</w:t>
      </w:r>
      <w:r w:rsidRPr="00ED22EA">
        <w:t>. über die</w:t>
      </w:r>
      <w:r w:rsidR="0011233E">
        <w:t xml:space="preserve"> Carus Green-Botschafter</w:t>
      </w:r>
      <w:r w:rsidRPr="00ED22EA">
        <w:t xml:space="preserve"> regelmäßig Schulungen zu den umgesetzten Maßnahmen an.</w:t>
      </w:r>
    </w:p>
    <w:p w14:paraId="22514F16" w14:textId="77777777" w:rsidR="00C77AB4" w:rsidRPr="00DE34FD" w:rsidRDefault="00C77AB4" w:rsidP="004F0038"/>
    <w:p w14:paraId="425E6F85" w14:textId="77777777" w:rsidR="000B3D43" w:rsidRDefault="0073729D">
      <w:pPr>
        <w:spacing w:after="160" w:line="276" w:lineRule="auto"/>
        <w:jc w:val="left"/>
        <w:sectPr w:rsidR="000B3D43" w:rsidSect="00C137E1">
          <w:footerReference w:type="default" r:id="rId22"/>
          <w:pgSz w:w="11906" w:h="16838" w:code="9"/>
          <w:pgMar w:top="851" w:right="1133" w:bottom="1304" w:left="1134" w:header="1021" w:footer="1247" w:gutter="0"/>
          <w:cols w:space="340"/>
          <w:docGrid w:linePitch="360"/>
        </w:sectPr>
      </w:pPr>
      <w:r w:rsidRPr="00DE34FD">
        <w:t xml:space="preserve"> </w:t>
      </w:r>
      <w:r w:rsidR="00950866" w:rsidRPr="00DE34FD">
        <w:br w:type="page"/>
      </w:r>
    </w:p>
    <w:p w14:paraId="2453D11E" w14:textId="6D2C0D92" w:rsidR="009F5EE6" w:rsidRDefault="009F5EE6">
      <w:pPr>
        <w:spacing w:after="160" w:line="276" w:lineRule="auto"/>
        <w:jc w:val="left"/>
      </w:pPr>
    </w:p>
    <w:p w14:paraId="331EF30E" w14:textId="18DC36DD" w:rsidR="000B3D43" w:rsidRDefault="000B3D43" w:rsidP="004B4DAB">
      <w:pPr>
        <w:spacing w:after="160" w:line="276" w:lineRule="auto"/>
        <w:jc w:val="left"/>
      </w:pPr>
      <w:r w:rsidRPr="000B3D43">
        <w:rPr>
          <w:noProof/>
          <w:lang w:eastAsia="de-DE"/>
        </w:rPr>
        <w:drawing>
          <wp:inline distT="0" distB="0" distL="0" distR="0" wp14:anchorId="5F75F954" wp14:editId="18A85EBF">
            <wp:extent cx="9026305" cy="5017538"/>
            <wp:effectExtent l="0" t="0" r="381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032856" cy="5021179"/>
                    </a:xfrm>
                    <a:prstGeom prst="rect">
                      <a:avLst/>
                    </a:prstGeom>
                    <a:noFill/>
                    <a:ln>
                      <a:noFill/>
                    </a:ln>
                  </pic:spPr>
                </pic:pic>
              </a:graphicData>
            </a:graphic>
          </wp:inline>
        </w:drawing>
      </w:r>
    </w:p>
    <w:p w14:paraId="533174DB" w14:textId="77777777" w:rsidR="000B3D43" w:rsidRDefault="000B3D43">
      <w:pPr>
        <w:spacing w:after="160" w:line="276" w:lineRule="auto"/>
        <w:jc w:val="left"/>
      </w:pPr>
      <w:r>
        <w:br w:type="page"/>
      </w:r>
    </w:p>
    <w:p w14:paraId="05F4393D" w14:textId="77777777" w:rsidR="000B3D43" w:rsidRDefault="000B3D43" w:rsidP="004B4DAB">
      <w:pPr>
        <w:spacing w:after="160" w:line="276" w:lineRule="auto"/>
        <w:jc w:val="left"/>
        <w:sectPr w:rsidR="000B3D43" w:rsidSect="000B3D43">
          <w:pgSz w:w="16838" w:h="11906" w:orient="landscape" w:code="9"/>
          <w:pgMar w:top="1134" w:right="851" w:bottom="1133" w:left="1304" w:header="1021" w:footer="1247" w:gutter="0"/>
          <w:cols w:space="340"/>
          <w:docGrid w:linePitch="360"/>
        </w:sectPr>
      </w:pPr>
    </w:p>
    <w:p w14:paraId="77FBFB14" w14:textId="125FF2D9" w:rsidR="002C2330" w:rsidRDefault="002C2330" w:rsidP="004B4DAB">
      <w:pPr>
        <w:spacing w:after="160" w:line="276" w:lineRule="auto"/>
        <w:jc w:val="left"/>
      </w:pPr>
    </w:p>
    <w:p w14:paraId="3E8A225F" w14:textId="77777777" w:rsidR="002C2330" w:rsidRPr="0092352F" w:rsidRDefault="002C2330" w:rsidP="0092352F">
      <w:pPr>
        <w:pStyle w:val="berschrift1"/>
        <w:rPr>
          <w:caps/>
          <w:lang w:val="en-GB"/>
        </w:rPr>
      </w:pPr>
      <w:bookmarkStart w:id="165" w:name="_Toc227246700"/>
      <w:r w:rsidRPr="0092352F">
        <w:rPr>
          <w:caps/>
          <w:lang w:val="en-GB"/>
        </w:rPr>
        <w:t>Quellen</w:t>
      </w:r>
      <w:bookmarkEnd w:id="165"/>
    </w:p>
    <w:p w14:paraId="5455725F" w14:textId="77777777" w:rsidR="002C2330" w:rsidRPr="002C2330" w:rsidRDefault="002C2330" w:rsidP="002C2330">
      <w:pPr>
        <w:pStyle w:val="Listenabsatz"/>
        <w:numPr>
          <w:ilvl w:val="0"/>
          <w:numId w:val="14"/>
        </w:numPr>
        <w:spacing w:after="160" w:line="276" w:lineRule="auto"/>
        <w:jc w:val="left"/>
        <w:rPr>
          <w:lang w:val="en-GB"/>
        </w:rPr>
      </w:pPr>
      <w:r w:rsidRPr="002C2330">
        <w:rPr>
          <w:lang w:val="en-GB"/>
        </w:rPr>
        <w:t>About. My Green Lab https://www.mygreenlab.org/about.html.</w:t>
      </w:r>
    </w:p>
    <w:p w14:paraId="6D119ADF" w14:textId="77777777" w:rsidR="002C2330" w:rsidRPr="002C2330" w:rsidRDefault="002C2330" w:rsidP="002C2330">
      <w:pPr>
        <w:pStyle w:val="Listenabsatz"/>
        <w:numPr>
          <w:ilvl w:val="0"/>
          <w:numId w:val="14"/>
        </w:numPr>
        <w:spacing w:after="160" w:line="276" w:lineRule="auto"/>
        <w:jc w:val="left"/>
        <w:rPr>
          <w:lang w:val="en-GB"/>
        </w:rPr>
      </w:pPr>
      <w:r w:rsidRPr="002C2330">
        <w:rPr>
          <w:lang w:val="en-GB"/>
        </w:rPr>
        <w:t>Urbina, M. A., Watts, A. J. R. &amp; Reardon, E. E. Labs should cut plastic waste too. Nature 528, 479–479 (2015).</w:t>
      </w:r>
    </w:p>
    <w:p w14:paraId="576F6096" w14:textId="77777777" w:rsidR="002C2330" w:rsidRPr="002C2330" w:rsidRDefault="002C2330" w:rsidP="002C2330">
      <w:pPr>
        <w:pStyle w:val="Listenabsatz"/>
        <w:numPr>
          <w:ilvl w:val="0"/>
          <w:numId w:val="14"/>
        </w:numPr>
        <w:spacing w:after="160" w:line="276" w:lineRule="auto"/>
        <w:jc w:val="left"/>
        <w:rPr>
          <w:lang w:val="en-GB"/>
        </w:rPr>
      </w:pPr>
      <w:r w:rsidRPr="002C2330">
        <w:rPr>
          <w:lang w:val="en-GB"/>
        </w:rPr>
        <w:t xml:space="preserve">Top </w:t>
      </w:r>
      <w:proofErr w:type="gramStart"/>
      <w:r w:rsidRPr="002C2330">
        <w:rPr>
          <w:lang w:val="en-GB"/>
        </w:rPr>
        <w:t>9</w:t>
      </w:r>
      <w:proofErr w:type="gramEnd"/>
      <w:r w:rsidRPr="002C2330">
        <w:rPr>
          <w:lang w:val="en-GB"/>
        </w:rPr>
        <w:t xml:space="preserve"> Actions To Take in the Lab to Improve Energy Efficiency. My Green Lab http://www.mygreenlab.org/2/post/2021/01/top-9-actions-to-take-in-the-lab-to-improve-energy-efficiency.html.</w:t>
      </w:r>
    </w:p>
    <w:p w14:paraId="66D932D5" w14:textId="77777777" w:rsidR="002C2330" w:rsidRPr="002C2330" w:rsidRDefault="002C2330" w:rsidP="002C2330">
      <w:pPr>
        <w:pStyle w:val="Listenabsatz"/>
        <w:numPr>
          <w:ilvl w:val="0"/>
          <w:numId w:val="14"/>
        </w:numPr>
        <w:spacing w:after="160" w:line="276" w:lineRule="auto"/>
        <w:jc w:val="left"/>
        <w:rPr>
          <w:lang w:val="en-GB"/>
        </w:rPr>
      </w:pPr>
      <w:proofErr w:type="spellStart"/>
      <w:r w:rsidRPr="002C2330">
        <w:rPr>
          <w:lang w:val="en-GB"/>
        </w:rPr>
        <w:t>Wesolowski</w:t>
      </w:r>
      <w:proofErr w:type="spellEnd"/>
      <w:r w:rsidRPr="002C2330">
        <w:rPr>
          <w:lang w:val="en-GB"/>
        </w:rPr>
        <w:t>, D. et al. The use of feedback in lab energy conservation: fume hoods at MIT. International Journal of Sustainability in Higher Education 11, 217–235 (2010).</w:t>
      </w:r>
    </w:p>
    <w:p w14:paraId="357FF523" w14:textId="77777777" w:rsidR="002C2330" w:rsidRPr="002C2330" w:rsidRDefault="002C2330" w:rsidP="002C2330">
      <w:pPr>
        <w:pStyle w:val="Listenabsatz"/>
        <w:numPr>
          <w:ilvl w:val="0"/>
          <w:numId w:val="14"/>
        </w:numPr>
        <w:spacing w:after="160" w:line="276" w:lineRule="auto"/>
        <w:jc w:val="left"/>
        <w:rPr>
          <w:lang w:val="en-GB"/>
        </w:rPr>
      </w:pPr>
      <w:r w:rsidRPr="002C2330">
        <w:rPr>
          <w:lang w:val="en-GB"/>
        </w:rPr>
        <w:t>Ultra-Low Temperature Freezers: Opening the Door to Energy Savings in Laboratories | ETCC. https://www.etcc-ca.com/reports/ultra-low-temperature-freezers-opening-door-energy-savings-laboratories.</w:t>
      </w:r>
    </w:p>
    <w:p w14:paraId="08EC1ECD" w14:textId="77777777" w:rsidR="002C2330" w:rsidRPr="003C4B84" w:rsidRDefault="002C2330" w:rsidP="002C2330">
      <w:pPr>
        <w:pStyle w:val="Listenabsatz"/>
        <w:numPr>
          <w:ilvl w:val="0"/>
          <w:numId w:val="14"/>
        </w:numPr>
        <w:spacing w:after="160" w:line="276" w:lineRule="auto"/>
        <w:jc w:val="left"/>
        <w:rPr>
          <w:lang w:val="fr-FR"/>
        </w:rPr>
      </w:pPr>
      <w:r w:rsidRPr="002C2330">
        <w:rPr>
          <w:lang w:val="en-GB"/>
        </w:rPr>
        <w:t xml:space="preserve">Autoclave Energy Consumption &amp; Autoclave Water Requirements. </w:t>
      </w:r>
      <w:proofErr w:type="spellStart"/>
      <w:r w:rsidRPr="003C4B84">
        <w:rPr>
          <w:lang w:val="fr-FR"/>
        </w:rPr>
        <w:t>Priorclave</w:t>
      </w:r>
      <w:proofErr w:type="spellEnd"/>
      <w:r w:rsidRPr="003C4B84">
        <w:rPr>
          <w:lang w:val="fr-FR"/>
        </w:rPr>
        <w:t xml:space="preserve"> - International (en) https://www.priorclave.com/en/why-priorclave/autoclave-energy-water-consumption/.</w:t>
      </w:r>
    </w:p>
    <w:p w14:paraId="65666534" w14:textId="77777777" w:rsidR="002C2330" w:rsidRPr="002C2330" w:rsidRDefault="002C2330" w:rsidP="002C2330">
      <w:pPr>
        <w:pStyle w:val="Listenabsatz"/>
        <w:numPr>
          <w:ilvl w:val="0"/>
          <w:numId w:val="14"/>
        </w:numPr>
        <w:spacing w:after="160" w:line="276" w:lineRule="auto"/>
        <w:jc w:val="left"/>
        <w:rPr>
          <w:lang w:val="en-GB"/>
        </w:rPr>
      </w:pPr>
      <w:r w:rsidRPr="002C2330">
        <w:rPr>
          <w:lang w:val="en-GB"/>
        </w:rPr>
        <w:t>Dry Lab - SELs Network. https://sels-network.org/index.php/sels-resources/dry-lab/ (2022).</w:t>
      </w:r>
    </w:p>
    <w:p w14:paraId="244567B7" w14:textId="77777777" w:rsidR="002C2330" w:rsidRPr="002C2330" w:rsidRDefault="002C2330" w:rsidP="002C2330">
      <w:pPr>
        <w:pStyle w:val="Listenabsatz"/>
        <w:numPr>
          <w:ilvl w:val="0"/>
          <w:numId w:val="14"/>
        </w:numPr>
        <w:spacing w:after="160" w:line="276" w:lineRule="auto"/>
        <w:jc w:val="left"/>
        <w:rPr>
          <w:lang w:val="en-GB"/>
        </w:rPr>
      </w:pPr>
      <w:r w:rsidRPr="002C2330">
        <w:rPr>
          <w:lang w:val="en-GB"/>
        </w:rPr>
        <w:t>Dry – Green Labs – NL. https://www.greenlabs-nl.eu/dry/.</w:t>
      </w:r>
    </w:p>
    <w:p w14:paraId="15A89992" w14:textId="77777777" w:rsidR="002C2330" w:rsidRPr="002C2330" w:rsidRDefault="002C2330" w:rsidP="002C2330">
      <w:pPr>
        <w:pStyle w:val="Listenabsatz"/>
        <w:numPr>
          <w:ilvl w:val="0"/>
          <w:numId w:val="14"/>
        </w:numPr>
        <w:spacing w:after="160" w:line="276" w:lineRule="auto"/>
        <w:jc w:val="left"/>
        <w:rPr>
          <w:lang w:val="en-GB"/>
        </w:rPr>
      </w:pPr>
      <w:proofErr w:type="spellStart"/>
      <w:r w:rsidRPr="002C2330">
        <w:rPr>
          <w:lang w:val="en-GB"/>
        </w:rPr>
        <w:t>Lannelongue</w:t>
      </w:r>
      <w:proofErr w:type="spellEnd"/>
      <w:r w:rsidRPr="002C2330">
        <w:rPr>
          <w:lang w:val="en-GB"/>
        </w:rPr>
        <w:t xml:space="preserve">, L., </w:t>
      </w:r>
      <w:proofErr w:type="spellStart"/>
      <w:r w:rsidRPr="002C2330">
        <w:rPr>
          <w:lang w:val="en-GB"/>
        </w:rPr>
        <w:t>Grealey</w:t>
      </w:r>
      <w:proofErr w:type="spellEnd"/>
      <w:r w:rsidRPr="002C2330">
        <w:rPr>
          <w:lang w:val="en-GB"/>
        </w:rPr>
        <w:t>, J., Bateman, A. &amp; Inouye, M. Ten simple rules to make your computing more environmentally sustainable. PLOS Computational Biology 17, e1009324 (2021).</w:t>
      </w:r>
    </w:p>
    <w:p w14:paraId="00183176" w14:textId="01F5457A" w:rsidR="002C2330" w:rsidRDefault="002C2330" w:rsidP="002C2330">
      <w:pPr>
        <w:pStyle w:val="Listenabsatz"/>
        <w:numPr>
          <w:ilvl w:val="0"/>
          <w:numId w:val="14"/>
        </w:numPr>
        <w:spacing w:after="160" w:line="276" w:lineRule="auto"/>
        <w:jc w:val="left"/>
        <w:rPr>
          <w:lang w:val="en-GB"/>
        </w:rPr>
      </w:pPr>
      <w:proofErr w:type="spellStart"/>
      <w:r w:rsidRPr="002C2330">
        <w:rPr>
          <w:lang w:val="en-GB"/>
        </w:rPr>
        <w:t>Gotarane</w:t>
      </w:r>
      <w:proofErr w:type="spellEnd"/>
      <w:r w:rsidRPr="002C2330">
        <w:rPr>
          <w:lang w:val="en-GB"/>
        </w:rPr>
        <w:t xml:space="preserve">, P. &amp; </w:t>
      </w:r>
      <w:proofErr w:type="spellStart"/>
      <w:r w:rsidRPr="002C2330">
        <w:rPr>
          <w:lang w:val="en-GB"/>
        </w:rPr>
        <w:t>Pundkar</w:t>
      </w:r>
      <w:proofErr w:type="spellEnd"/>
      <w:r w:rsidRPr="002C2330">
        <w:rPr>
          <w:lang w:val="en-GB"/>
        </w:rPr>
        <w:t>, S. Smart Coding using New Code Optimization Techniques in Java to Reduce Runtime Overhead of Java Compiler. International Journal of Computer Applications 125, 11–16 (2015)</w:t>
      </w:r>
    </w:p>
    <w:p w14:paraId="160E853E" w14:textId="77777777" w:rsidR="0093101A" w:rsidRPr="00B53F0E" w:rsidRDefault="0093101A" w:rsidP="0093101A">
      <w:pPr>
        <w:pStyle w:val="Listenabsatz"/>
        <w:numPr>
          <w:ilvl w:val="0"/>
          <w:numId w:val="14"/>
        </w:numPr>
        <w:spacing w:after="160" w:line="276" w:lineRule="auto"/>
        <w:jc w:val="left"/>
      </w:pPr>
      <w:r w:rsidRPr="00B53F0E">
        <w:t>Umweltbundesamt (</w:t>
      </w:r>
      <w:r>
        <w:t xml:space="preserve">Ed.). </w:t>
      </w:r>
      <w:r w:rsidRPr="00B53F0E">
        <w:t>Leitfaden zur umweltfreundlichen öffentlichen Beschaffung von Software (Neufassung 2023)</w:t>
      </w:r>
      <w:r>
        <w:t xml:space="preserve"> </w:t>
      </w:r>
      <w:r w:rsidRPr="00B53F0E">
        <w:t>https://www.umweltbundesamt.de/sites/default/files/medien/11850/publikationen/leitfaden_beschaffung_software_barrierefrei_0.pdf</w:t>
      </w:r>
      <w:r>
        <w:t xml:space="preserve"> (2023)</w:t>
      </w:r>
      <w:r w:rsidRPr="00B53F0E">
        <w:t>.</w:t>
      </w:r>
    </w:p>
    <w:p w14:paraId="68D1E6E5" w14:textId="55E64154" w:rsidR="00E0097C" w:rsidRDefault="00E0097C" w:rsidP="00E0097C">
      <w:pPr>
        <w:pStyle w:val="Listenabsatz"/>
        <w:numPr>
          <w:ilvl w:val="0"/>
          <w:numId w:val="14"/>
        </w:numPr>
        <w:spacing w:after="160" w:line="276" w:lineRule="auto"/>
        <w:jc w:val="left"/>
        <w:rPr>
          <w:lang w:val="en-GB"/>
        </w:rPr>
      </w:pPr>
      <w:proofErr w:type="spellStart"/>
      <w:r w:rsidRPr="00646C90">
        <w:rPr>
          <w:lang w:val="en-GB"/>
        </w:rPr>
        <w:t>Arpana</w:t>
      </w:r>
      <w:proofErr w:type="spellEnd"/>
      <w:r w:rsidRPr="00646C90">
        <w:rPr>
          <w:lang w:val="en-GB"/>
        </w:rPr>
        <w:t xml:space="preserve"> Agrawal, </w:t>
      </w:r>
      <w:proofErr w:type="spellStart"/>
      <w:r w:rsidRPr="00646C90">
        <w:rPr>
          <w:lang w:val="en-GB"/>
        </w:rPr>
        <w:t>Rüstem</w:t>
      </w:r>
      <w:proofErr w:type="spellEnd"/>
      <w:r w:rsidRPr="00646C90">
        <w:rPr>
          <w:lang w:val="en-GB"/>
        </w:rPr>
        <w:t xml:space="preserve"> </w:t>
      </w:r>
      <w:proofErr w:type="spellStart"/>
      <w:r w:rsidRPr="00646C90">
        <w:rPr>
          <w:lang w:val="en-GB"/>
        </w:rPr>
        <w:t>Keçili</w:t>
      </w:r>
      <w:proofErr w:type="spellEnd"/>
      <w:r w:rsidRPr="00646C90">
        <w:rPr>
          <w:lang w:val="en-GB"/>
        </w:rPr>
        <w:t xml:space="preserve">, </w:t>
      </w:r>
      <w:proofErr w:type="spellStart"/>
      <w:r w:rsidRPr="00646C90">
        <w:rPr>
          <w:lang w:val="en-GB"/>
        </w:rPr>
        <w:t>Chaudhery</w:t>
      </w:r>
      <w:proofErr w:type="spellEnd"/>
      <w:r w:rsidRPr="00646C90">
        <w:rPr>
          <w:lang w:val="en-GB"/>
        </w:rPr>
        <w:t xml:space="preserve"> </w:t>
      </w:r>
      <w:proofErr w:type="spellStart"/>
      <w:r w:rsidRPr="00646C90">
        <w:rPr>
          <w:lang w:val="en-GB"/>
        </w:rPr>
        <w:t>Mustansar</w:t>
      </w:r>
      <w:proofErr w:type="spellEnd"/>
      <w:r w:rsidRPr="00646C90">
        <w:rPr>
          <w:lang w:val="en-GB"/>
        </w:rPr>
        <w:t xml:space="preserve"> Hussain. </w:t>
      </w:r>
      <w:hyperlink r:id="rId24" w:history="1">
        <w:r w:rsidRPr="00E0097C">
          <w:rPr>
            <w:lang w:val="en-GB"/>
          </w:rPr>
          <w:t>Green miniaturized</w:t>
        </w:r>
        <w:r>
          <w:rPr>
            <w:lang w:val="en-GB"/>
          </w:rPr>
          <w:t xml:space="preserve"> </w:t>
        </w:r>
        <w:r w:rsidRPr="00E0097C">
          <w:rPr>
            <w:lang w:val="en-GB"/>
          </w:rPr>
          <w:t>technologies</w:t>
        </w:r>
        <w:r>
          <w:rPr>
            <w:lang w:val="en-GB"/>
          </w:rPr>
          <w:t xml:space="preserve"> in a</w:t>
        </w:r>
        <w:r w:rsidRPr="00E0097C">
          <w:rPr>
            <w:lang w:val="en-GB"/>
          </w:rPr>
          <w:t>nalytical</w:t>
        </w:r>
        <w:r>
          <w:rPr>
            <w:lang w:val="en-GB"/>
          </w:rPr>
          <w:t xml:space="preserve"> and </w:t>
        </w:r>
        <w:r w:rsidRPr="00E0097C">
          <w:rPr>
            <w:lang w:val="en-GB"/>
          </w:rPr>
          <w:t>bioanalytical</w:t>
        </w:r>
        <w:r>
          <w:rPr>
            <w:lang w:val="en-GB"/>
          </w:rPr>
          <w:t xml:space="preserve"> </w:t>
        </w:r>
        <w:r w:rsidRPr="00E0097C">
          <w:rPr>
            <w:lang w:val="en-GB"/>
          </w:rPr>
          <w:t>chemistry</w:t>
        </w:r>
      </w:hyperlink>
      <w:r w:rsidRPr="00E0097C">
        <w:rPr>
          <w:lang w:val="en-GB"/>
        </w:rPr>
        <w:t xml:space="preserve">. </w:t>
      </w:r>
      <w:hyperlink r:id="rId25" w:history="1">
        <w:proofErr w:type="spellStart"/>
        <w:r w:rsidRPr="00E0097C">
          <w:rPr>
            <w:lang w:val="en-GB"/>
          </w:rPr>
          <w:t>TrAC</w:t>
        </w:r>
        <w:proofErr w:type="spellEnd"/>
        <w:r w:rsidRPr="00E0097C">
          <w:rPr>
            <w:lang w:val="en-GB"/>
          </w:rPr>
          <w:t xml:space="preserve"> Trends in</w:t>
        </w:r>
        <w:r>
          <w:rPr>
            <w:lang w:val="en-GB"/>
          </w:rPr>
          <w:t xml:space="preserve"> </w:t>
        </w:r>
        <w:r w:rsidRPr="00E0097C">
          <w:rPr>
            <w:lang w:val="en-GB"/>
          </w:rPr>
          <w:t>Analytical</w:t>
        </w:r>
        <w:r>
          <w:rPr>
            <w:lang w:val="en-GB"/>
          </w:rPr>
          <w:t xml:space="preserve"> </w:t>
        </w:r>
        <w:r w:rsidRPr="00E0097C">
          <w:rPr>
            <w:lang w:val="en-GB"/>
          </w:rPr>
          <w:t>Chemistry</w:t>
        </w:r>
      </w:hyperlink>
      <w:r w:rsidRPr="00E0097C">
        <w:rPr>
          <w:lang w:val="en-GB"/>
        </w:rPr>
        <w:t xml:space="preserve"> 143, 116383 (2021).</w:t>
      </w:r>
    </w:p>
    <w:p w14:paraId="7D651E5C" w14:textId="58750BD8" w:rsidR="00E0097C" w:rsidRPr="00E0097C" w:rsidRDefault="00E0097C" w:rsidP="00E0097C">
      <w:pPr>
        <w:pStyle w:val="Listenabsatz"/>
        <w:numPr>
          <w:ilvl w:val="0"/>
          <w:numId w:val="14"/>
        </w:numPr>
        <w:spacing w:after="160" w:line="276" w:lineRule="auto"/>
        <w:jc w:val="left"/>
      </w:pPr>
      <w:r>
        <w:t xml:space="preserve">Deutsche Forschungsgesellschaft (DFG). Nachhaltigkeit im Forschungsprozess. </w:t>
      </w:r>
      <w:r w:rsidRPr="00854BFE">
        <w:t>https://www.dfg.de/de/grundlagen-themen/grundlagen-und-prinzipien-der-foerderung/nachhaltigkeit-foschungsprozess</w:t>
      </w:r>
      <w:r>
        <w:t>.</w:t>
      </w:r>
    </w:p>
    <w:p w14:paraId="7FE6A509" w14:textId="7C6106CB" w:rsidR="00403EEF" w:rsidRPr="00254C61" w:rsidRDefault="00403EEF" w:rsidP="00C137E1">
      <w:pPr>
        <w:spacing w:after="160" w:line="276" w:lineRule="auto"/>
        <w:jc w:val="left"/>
      </w:pPr>
    </w:p>
    <w:sectPr w:rsidR="00403EEF" w:rsidRPr="00254C61" w:rsidSect="00C137E1">
      <w:pgSz w:w="11906" w:h="16838" w:code="9"/>
      <w:pgMar w:top="851" w:right="1133" w:bottom="1304" w:left="1134" w:header="1021" w:footer="1247" w:gutter="0"/>
      <w:cols w:space="34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A880A64" w16cex:dateUtc="2026-03-27T08:29:00Z"/>
  <w16cex:commentExtensible w16cex:durableId="2E0F0EE5" w16cex:dateUtc="2026-03-27T08:31:00Z"/>
  <w16cex:commentExtensible w16cex:durableId="5B6DECC7" w16cex:dateUtc="2026-03-27T08:33:00Z"/>
  <w16cex:commentExtensible w16cex:durableId="1E355E22" w16cex:dateUtc="2026-03-27T08:34:00Z"/>
  <w16cex:commentExtensible w16cex:durableId="69305509" w16cex:dateUtc="2026-03-27T08:35:00Z"/>
  <w16cex:commentExtensible w16cex:durableId="5195D01C" w16cex:dateUtc="2026-03-27T08:36:00Z"/>
  <w16cex:commentExtensible w16cex:durableId="7394A9E9" w16cex:dateUtc="2026-03-27T08:37:00Z"/>
  <w16cex:commentExtensible w16cex:durableId="1AF0AAE1" w16cex:dateUtc="2026-03-27T08:37:00Z"/>
  <w16cex:commentExtensible w16cex:durableId="174F633C" w16cex:dateUtc="2026-03-27T08:49:00Z"/>
  <w16cex:commentExtensible w16cex:durableId="693D0133" w16cex:dateUtc="2026-03-27T08:49:00Z"/>
  <w16cex:commentExtensible w16cex:durableId="09197972" w16cex:dateUtc="2026-03-27T08:55:00Z"/>
  <w16cex:commentExtensible w16cex:durableId="6CAED85B" w16cex:dateUtc="2026-03-27T08:55:00Z"/>
  <w16cex:commentExtensible w16cex:durableId="24968A5D" w16cex:dateUtc="2026-03-27T08:57:00Z"/>
  <w16cex:commentExtensible w16cex:durableId="423E8CE3" w16cex:dateUtc="2026-03-27T08:57:00Z"/>
  <w16cex:commentExtensible w16cex:durableId="552DB9B1" w16cex:dateUtc="2026-03-27T09: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A1CC0E" w16cid:durableId="0A880A64"/>
  <w16cid:commentId w16cid:paraId="523BD635" w16cid:durableId="2E0F0EE5"/>
  <w16cid:commentId w16cid:paraId="268B430B" w16cid:durableId="5B6DECC7"/>
  <w16cid:commentId w16cid:paraId="61A068A7" w16cid:durableId="1E355E22"/>
  <w16cid:commentId w16cid:paraId="29CC851A" w16cid:durableId="69305509"/>
  <w16cid:commentId w16cid:paraId="48423D16" w16cid:durableId="5195D01C"/>
  <w16cid:commentId w16cid:paraId="4B65E5F6" w16cid:durableId="7394A9E9"/>
  <w16cid:commentId w16cid:paraId="00AA8B7E" w16cid:durableId="1AF0AAE1"/>
  <w16cid:commentId w16cid:paraId="5F14525D" w16cid:durableId="174F633C"/>
  <w16cid:commentId w16cid:paraId="56EA3053" w16cid:durableId="693D0133"/>
  <w16cid:commentId w16cid:paraId="19DA9922" w16cid:durableId="09197972"/>
  <w16cid:commentId w16cid:paraId="0E2687A4" w16cid:durableId="6CAED85B"/>
  <w16cid:commentId w16cid:paraId="6B1ABC85" w16cid:durableId="24968A5D"/>
  <w16cid:commentId w16cid:paraId="4480D710" w16cid:durableId="423E8CE3"/>
  <w16cid:commentId w16cid:paraId="3C8D0575" w16cid:durableId="552DB9B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5963C" w14:textId="77777777" w:rsidR="00BF2513" w:rsidRDefault="00BF2513" w:rsidP="00BE18F2">
      <w:r>
        <w:separator/>
      </w:r>
    </w:p>
  </w:endnote>
  <w:endnote w:type="continuationSeparator" w:id="0">
    <w:p w14:paraId="33BFE2BC" w14:textId="77777777" w:rsidR="00BF2513" w:rsidRDefault="00BF2513" w:rsidP="00BE1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Condensed Light">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embedRegular r:id="rId1" w:fontKey="{E7C44E6E-5DDB-45A1-966A-5F20739D1ED8}"/>
    <w:embedBold r:id="rId2" w:fontKey="{451D065B-5EFD-4CDB-B58D-0F47EE97886A}"/>
  </w:font>
  <w:font w:name="Noto Sans">
    <w:altName w:val="Noto Sans"/>
    <w:panose1 w:val="020B0502040504020204"/>
    <w:charset w:val="00"/>
    <w:family w:val="swiss"/>
    <w:pitch w:val="variable"/>
    <w:sig w:usb0="E00002FF" w:usb1="4000201F" w:usb2="08000029" w:usb3="00000000" w:csb0="0000019F" w:csb1="00000000"/>
    <w:embedRegular r:id="rId3" w:fontKey="{D291CC78-C70C-4322-8C1C-275E850729CF}"/>
    <w:embedBold r:id="rId4" w:fontKey="{60404D54-1C13-4554-B388-5766B17F879C}"/>
    <w:embedItalic r:id="rId5" w:fontKey="{E54C7091-842C-4636-9D80-96AA9B9AEBC2}"/>
  </w:font>
  <w:font w:name="Noto Sans SemiBold">
    <w:panose1 w:val="020B0502040504020204"/>
    <w:charset w:val="00"/>
    <w:family w:val="swiss"/>
    <w:pitch w:val="variable"/>
    <w:sig w:usb0="E00002FF" w:usb1="4000201F" w:usb2="08000029" w:usb3="00000000" w:csb0="0000019F" w:csb1="00000000"/>
    <w:embedRegular r:id="rId6" w:fontKey="{9579C35E-1073-42DC-B75B-2F52F27F967B}"/>
    <w:embedBold r:id="rId7" w:fontKey="{D756C7A9-01F5-419F-987C-0E90094879F7}"/>
    <w:embedItalic r:id="rId8" w:fontKey="{783C8D75-896C-4328-B196-93F149B3D2F8}"/>
  </w:font>
  <w:font w:name="Open Sans SemiBold">
    <w:panose1 w:val="020B0706030804020204"/>
    <w:charset w:val="00"/>
    <w:family w:val="swiss"/>
    <w:pitch w:val="variable"/>
    <w:sig w:usb0="E00002EF" w:usb1="4000205B" w:usb2="00000028" w:usb3="00000000" w:csb0="0000019F" w:csb1="00000000"/>
    <w:embedRegular r:id="rId9" w:fontKey="{80E07FB7-1F68-48DB-AF39-8D6B1E6C63A5}"/>
  </w:font>
  <w:font w:name="Segoe UI">
    <w:panose1 w:val="020B0502040204020203"/>
    <w:charset w:val="00"/>
    <w:family w:val="swiss"/>
    <w:pitch w:val="variable"/>
    <w:sig w:usb0="E4002EFF" w:usb1="C000E47F" w:usb2="00000009" w:usb3="00000000" w:csb0="000001FF" w:csb1="00000000"/>
    <w:embedRegular r:id="rId10" w:fontKey="{A03EB010-59AE-403F-A3EA-8D003FD6CA8F}"/>
  </w:font>
  <w:font w:name="Noto Serif Light">
    <w:panose1 w:val="02020502060505020204"/>
    <w:charset w:val="00"/>
    <w:family w:val="roman"/>
    <w:pitch w:val="variable"/>
    <w:sig w:usb0="E00002FF" w:usb1="4000201F" w:usb2="08000029" w:usb3="00000000" w:csb0="0000019F" w:csb1="00000000"/>
    <w:embedItalic r:id="rId11" w:fontKey="{C8FC089E-4B4C-4D9E-8DB7-0C75CF369733}"/>
  </w:font>
  <w:font w:name="Noto Serif">
    <w:panose1 w:val="02020502060505020204"/>
    <w:charset w:val="00"/>
    <w:family w:val="roman"/>
    <w:pitch w:val="variable"/>
    <w:sig w:usb0="E00002FF" w:usb1="4000201F" w:usb2="08000029" w:usb3="00000000" w:csb0="0000019F" w:csb1="00000000"/>
    <w:embedRegular r:id="rId12" w:fontKey="{DE69224E-AD2F-4325-86BD-5442A1533EDB}"/>
    <w:embedBold r:id="rId13" w:fontKey="{824F149E-A34B-43BE-8693-AD684B4CD562}"/>
  </w:font>
  <w:font w:name="Cambria Math">
    <w:panose1 w:val="02040503050406030204"/>
    <w:charset w:val="00"/>
    <w:family w:val="roman"/>
    <w:pitch w:val="variable"/>
    <w:sig w:usb0="E00006FF" w:usb1="420024FF" w:usb2="02000000" w:usb3="00000000" w:csb0="0000019F" w:csb1="00000000"/>
    <w:embedRegular r:id="rId14" w:fontKey="{CFA2DB54-91CE-4941-BB87-B0268A07AB5F}"/>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55B52" w14:textId="77777777" w:rsidR="00BF2513" w:rsidRPr="00BA25C4" w:rsidRDefault="00BF2513" w:rsidP="00BA25C4">
    <w:pPr>
      <w:pStyle w:val="Fuzeile"/>
    </w:pPr>
    <w:r>
      <w:rPr>
        <w:noProof/>
        <w:lang w:eastAsia="de-DE"/>
      </w:rPr>
      <mc:AlternateContent>
        <mc:Choice Requires="wps">
          <w:drawing>
            <wp:anchor distT="0" distB="0" distL="114300" distR="114300" simplePos="0" relativeHeight="251668480" behindDoc="0" locked="1" layoutInCell="0" allowOverlap="0" wp14:anchorId="0F8C5207" wp14:editId="15338E38">
              <wp:simplePos x="0" y="0"/>
              <wp:positionH relativeFrom="outsideMargin">
                <wp:posOffset>360045</wp:posOffset>
              </wp:positionH>
              <wp:positionV relativeFrom="page">
                <wp:posOffset>10189210</wp:posOffset>
              </wp:positionV>
              <wp:extent cx="432000" cy="230400"/>
              <wp:effectExtent l="0" t="0" r="6350" b="15875"/>
              <wp:wrapNone/>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 cy="230400"/>
                      </a:xfrm>
                      <a:prstGeom prst="rect">
                        <a:avLst/>
                      </a:prstGeom>
                      <a:noFill/>
                      <a:ln>
                        <a:noFill/>
                      </a:ln>
                    </wps:spPr>
                    <wps:txbx>
                      <w:txbxContent>
                        <w:p w14:paraId="23C9F92E" w14:textId="5B057466" w:rsidR="00BF2513" w:rsidRPr="004275D9" w:rsidRDefault="00BF2513" w:rsidP="00926589">
                          <w:r w:rsidRPr="004275D9">
                            <w:fldChar w:fldCharType="begin"/>
                          </w:r>
                          <w:r w:rsidRPr="004275D9">
                            <w:instrText>PAGE   \* MERGEFORMAT</w:instrText>
                          </w:r>
                          <w:r w:rsidRPr="004275D9">
                            <w:fldChar w:fldCharType="separate"/>
                          </w:r>
                          <w:r w:rsidR="008F3C3F">
                            <w:rPr>
                              <w:noProof/>
                            </w:rPr>
                            <w:t>6</w:t>
                          </w:r>
                          <w:r w:rsidRPr="004275D9">
                            <w:fldChar w:fldCharType="end"/>
                          </w:r>
                        </w:p>
                      </w:txbxContent>
                    </wps:txbx>
                    <wps:bodyPr rot="0" vert="horz" wrap="square" lIns="0" tIns="0" rIns="0" bIns="0" anchor="t" anchorCtr="0" upright="1">
                      <a:spAutoFit/>
                    </wps:bodyPr>
                  </wps:wsp>
                </a:graphicData>
              </a:graphic>
              <wp14:sizeRelH relativeFrom="leftMargin">
                <wp14:pctWidth>0</wp14:pctWidth>
              </wp14:sizeRelH>
              <wp14:sizeRelV relativeFrom="page">
                <wp14:pctHeight>0</wp14:pctHeight>
              </wp14:sizeRelV>
            </wp:anchor>
          </w:drawing>
        </mc:Choice>
        <mc:Fallback>
          <w:pict>
            <v:shapetype w14:anchorId="0F8C5207" id="_x0000_t202" coordsize="21600,21600" o:spt="202" path="m,l,21600r21600,l21600,xe">
              <v:stroke joinstyle="miter"/>
              <v:path gradientshapeok="t" o:connecttype="rect"/>
            </v:shapetype>
            <v:shape id="Textfeld 7" o:spid="_x0000_s1026" type="#_x0000_t202" style="position:absolute;left:0;text-align:left;margin-left:28.35pt;margin-top:802.3pt;width:34pt;height:18.15pt;z-index:25166848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" o:allowincell="f" o:allowoverlap="f" filled="f" stroked="f">
              <v:textbox style="mso-fit-shape-to-text:t" inset="0,0,0,0">
                <w:txbxContent>
                  <w:p w14:paraId="23C9F92E" w14:textId="5B057466" w:rsidR="00BF2513" w:rsidRPr="004275D9" w:rsidRDefault="00BF2513" w:rsidP="00926589">
                    <w:r w:rsidRPr="004275D9">
                      <w:fldChar w:fldCharType="begin"/>
                    </w:r>
                    <w:r w:rsidRPr="004275D9">
                      <w:instrText>PAGE   \* MERGEFORMAT</w:instrText>
                    </w:r>
                    <w:r w:rsidRPr="004275D9">
                      <w:fldChar w:fldCharType="separate"/>
                    </w:r>
                    <w:r w:rsidR="008F3C3F">
                      <w:rPr>
                        <w:noProof/>
                      </w:rPr>
                      <w:t>6</w:t>
                    </w:r>
                    <w:r w:rsidRPr="004275D9">
                      <w:fldChar w:fldCharType="end"/>
                    </w:r>
                  </w:p>
                </w:txbxContent>
              </v:textbox>
              <w10:wrap anchorx="margin"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049457"/>
      <w:docPartObj>
        <w:docPartGallery w:val="Page Numbers (Bottom of Page)"/>
        <w:docPartUnique/>
      </w:docPartObj>
    </w:sdtPr>
    <w:sdtEndPr/>
    <w:sdtContent>
      <w:p w14:paraId="41E354CC" w14:textId="77777777" w:rsidR="00572A13" w:rsidRDefault="00572A13">
        <w:pPr>
          <w:pStyle w:val="Fuzeile"/>
          <w:jc w:val="center"/>
        </w:pPr>
      </w:p>
      <w:p w14:paraId="1C5C322E" w14:textId="26F090CA" w:rsidR="00BF2513" w:rsidRDefault="00BF2513">
        <w:pPr>
          <w:pStyle w:val="Fuzeile"/>
          <w:jc w:val="center"/>
        </w:pPr>
        <w:r>
          <w:fldChar w:fldCharType="begin"/>
        </w:r>
        <w:r>
          <w:instrText>PAGE   \* MERGEFORMAT</w:instrText>
        </w:r>
        <w:r>
          <w:fldChar w:fldCharType="separate"/>
        </w:r>
        <w:r w:rsidR="00F7241F">
          <w:rPr>
            <w:noProof/>
          </w:rPr>
          <w:t>3</w:t>
        </w:r>
        <w:r>
          <w:fldChar w:fldCharType="end"/>
        </w:r>
      </w:p>
    </w:sdtContent>
  </w:sdt>
  <w:p w14:paraId="17FDC077" w14:textId="77777777" w:rsidR="00BF2513" w:rsidRDefault="00BF251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E9892" w14:textId="77777777" w:rsidR="00BF2513" w:rsidRDefault="00BF2513" w:rsidP="00BE18F2">
      <w:r>
        <w:separator/>
      </w:r>
    </w:p>
  </w:footnote>
  <w:footnote w:type="continuationSeparator" w:id="0">
    <w:p w14:paraId="38BEBAE9" w14:textId="77777777" w:rsidR="00BF2513" w:rsidRDefault="00BF2513" w:rsidP="00BE1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70E5D" w14:textId="69EC9404" w:rsidR="00BF2513" w:rsidRDefault="00997AFE">
    <w:pPr>
      <w:pStyle w:val="Kopfzeile"/>
    </w:pPr>
    <w:r>
      <w:rPr>
        <w:rFonts w:eastAsiaTheme="majorEastAsia" w:cs="Noto Sans"/>
        <w:noProof/>
        <w:spacing w:val="-10"/>
        <w:kern w:val="28"/>
        <w:sz w:val="56"/>
        <w:szCs w:val="56"/>
        <w:lang w:eastAsia="de-DE"/>
      </w:rPr>
      <mc:AlternateContent>
        <mc:Choice Requires="wps">
          <w:drawing>
            <wp:anchor distT="0" distB="0" distL="114300" distR="114300" simplePos="0" relativeHeight="251667455" behindDoc="0" locked="0" layoutInCell="1" allowOverlap="1" wp14:anchorId="33F73CC3" wp14:editId="05DBC51E">
              <wp:simplePos x="0" y="0"/>
              <wp:positionH relativeFrom="margin">
                <wp:align>right</wp:align>
              </wp:positionH>
              <wp:positionV relativeFrom="paragraph">
                <wp:posOffset>7460019</wp:posOffset>
              </wp:positionV>
              <wp:extent cx="3336687" cy="428804"/>
              <wp:effectExtent l="0" t="0" r="0" b="9525"/>
              <wp:wrapNone/>
              <wp:docPr id="3" name="Textfeld 3"/>
              <wp:cNvGraphicFramePr/>
              <a:graphic xmlns:a="http://schemas.openxmlformats.org/drawingml/2006/main">
                <a:graphicData uri="http://schemas.microsoft.com/office/word/2010/wordprocessingShape">
                  <wps:wsp>
                    <wps:cNvSpPr txBox="1"/>
                    <wps:spPr>
                      <a:xfrm>
                        <a:off x="0" y="0"/>
                        <a:ext cx="3336687" cy="428804"/>
                      </a:xfrm>
                      <a:prstGeom prst="rect">
                        <a:avLst/>
                      </a:prstGeom>
                      <a:solidFill>
                        <a:srgbClr val="00008C"/>
                      </a:solidFill>
                      <a:ln w="6350">
                        <a:noFill/>
                      </a:ln>
                    </wps:spPr>
                    <wps:txbx>
                      <w:txbxContent>
                        <w:p w14:paraId="04C7C6DF" w14:textId="2DDC7929" w:rsidR="00997AFE" w:rsidRPr="00997AFE" w:rsidRDefault="00997AFE" w:rsidP="00737709">
                          <w:pPr>
                            <w:jc w:val="left"/>
                            <w:rPr>
                              <w:color w:val="FFFFFF" w:themeColor="background1"/>
                              <w:sz w:val="32"/>
                              <w:szCs w:val="32"/>
                            </w:rPr>
                          </w:pPr>
                          <w:r w:rsidRPr="00997AFE">
                            <w:rPr>
                              <w:color w:val="FFFFFF" w:themeColor="background1"/>
                              <w:sz w:val="32"/>
                              <w:szCs w:val="32"/>
                            </w:rPr>
                            <w:t>Ausgabe Medizinische Fakultät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F73CC3" id="_x0000_t202" coordsize="21600,21600" o:spt="202" path="m,l,21600r21600,l21600,xe">
              <v:stroke joinstyle="miter"/>
              <v:path gradientshapeok="t" o:connecttype="rect"/>
            </v:shapetype>
            <v:shape id="Textfeld 3" o:spid="_x0000_s1027" type="#_x0000_t202" style="position:absolute;left:0;text-align:left;margin-left:211.55pt;margin-top:587.4pt;width:262.75pt;height:33.75pt;z-index:25166745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" fillcolor="#00008c" stroked="f" strokeweight=".5pt">
              <v:textbox>
                <w:txbxContent>
                  <w:p w14:paraId="04C7C6DF" w14:textId="2DDC7929" w:rsidR="00997AFE" w:rsidRPr="00997AFE" w:rsidRDefault="00997AFE" w:rsidP="00737709">
                    <w:pPr>
                      <w:jc w:val="left"/>
                      <w:rPr>
                        <w:color w:val="FFFFFF" w:themeColor="background1"/>
                        <w:sz w:val="32"/>
                        <w:szCs w:val="32"/>
                      </w:rPr>
                    </w:pPr>
                    <w:r w:rsidRPr="00997AFE">
                      <w:rPr>
                        <w:color w:val="FFFFFF" w:themeColor="background1"/>
                        <w:sz w:val="32"/>
                        <w:szCs w:val="32"/>
                      </w:rPr>
                      <w:t>Ausgabe Medizinische Fakultät</w:t>
                    </w:r>
                  </w:p>
                </w:txbxContent>
              </v:textbox>
              <w10:wrap anchorx="margin"/>
            </v:shape>
          </w:pict>
        </mc:Fallback>
      </mc:AlternateContent>
    </w:r>
    <w:r w:rsidRPr="00580BA2">
      <w:rPr>
        <w:rFonts w:eastAsiaTheme="majorEastAsia" w:cs="Noto Sans"/>
        <w:noProof/>
        <w:spacing w:val="-10"/>
        <w:kern w:val="28"/>
        <w:sz w:val="56"/>
        <w:szCs w:val="56"/>
        <w:lang w:eastAsia="de-DE"/>
      </w:rPr>
      <w:drawing>
        <wp:inline distT="0" distB="0" distL="0" distR="0" wp14:anchorId="210A0BAB" wp14:editId="66B7C601">
          <wp:extent cx="5579745" cy="7890621"/>
          <wp:effectExtent l="0" t="0" r="190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tel_GreenLabGuide_A4_12-2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79745" cy="78906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1A8F81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48C0FA5"/>
    <w:multiLevelType w:val="multilevel"/>
    <w:tmpl w:val="D52C9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613D3"/>
    <w:multiLevelType w:val="hybridMultilevel"/>
    <w:tmpl w:val="517EA9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D15625E"/>
    <w:multiLevelType w:val="hybridMultilevel"/>
    <w:tmpl w:val="160C49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165BFB"/>
    <w:multiLevelType w:val="hybridMultilevel"/>
    <w:tmpl w:val="F61E823E"/>
    <w:lvl w:ilvl="0" w:tplc="B8E4809A">
      <w:start w:val="1"/>
      <w:numFmt w:val="bullet"/>
      <w:pStyle w:val="berschrift6"/>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734CD4"/>
    <w:multiLevelType w:val="hybridMultilevel"/>
    <w:tmpl w:val="64E89238"/>
    <w:lvl w:ilvl="0" w:tplc="FB0ED58E">
      <w:start w:val="1"/>
      <w:numFmt w:val="bullet"/>
      <w:pStyle w:val="berschrift5"/>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9454029"/>
    <w:multiLevelType w:val="hybridMultilevel"/>
    <w:tmpl w:val="4E14B190"/>
    <w:lvl w:ilvl="0" w:tplc="B7B09234">
      <w:start w:val="1"/>
      <w:numFmt w:val="decimal"/>
      <w:pStyle w:val="LIsteNumm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C523955"/>
    <w:multiLevelType w:val="hybridMultilevel"/>
    <w:tmpl w:val="CBCAADF8"/>
    <w:lvl w:ilvl="0" w:tplc="A012563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41A3FC1"/>
    <w:multiLevelType w:val="hybridMultilevel"/>
    <w:tmpl w:val="245EB778"/>
    <w:lvl w:ilvl="0" w:tplc="61520152">
      <w:start w:val="1"/>
      <w:numFmt w:val="bullet"/>
      <w:pStyle w:val="LIstePunk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4225352"/>
    <w:multiLevelType w:val="hybridMultilevel"/>
    <w:tmpl w:val="6E2858F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8AF70B2"/>
    <w:multiLevelType w:val="hybridMultilevel"/>
    <w:tmpl w:val="41A832AA"/>
    <w:lvl w:ilvl="0" w:tplc="1B76DFAA">
      <w:start w:val="1"/>
      <w:numFmt w:val="decimal"/>
      <w:lvlText w:val="%1."/>
      <w:lvlJc w:val="left"/>
      <w:pPr>
        <w:ind w:left="1071" w:hanging="711"/>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1B05D85"/>
    <w:multiLevelType w:val="multilevel"/>
    <w:tmpl w:val="E22E8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180A34"/>
    <w:multiLevelType w:val="hybridMultilevel"/>
    <w:tmpl w:val="C0785740"/>
    <w:lvl w:ilvl="0" w:tplc="1CEE5FF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26E573B"/>
    <w:multiLevelType w:val="hybridMultilevel"/>
    <w:tmpl w:val="6B2CE582"/>
    <w:lvl w:ilvl="0" w:tplc="2D545870">
      <w:start w:val="1"/>
      <w:numFmt w:val="bullet"/>
      <w:lvlText w:val="—"/>
      <w:lvlJc w:val="left"/>
      <w:pPr>
        <w:ind w:left="720" w:hanging="360"/>
      </w:pPr>
      <w:rPr>
        <w:rFonts w:ascii="Open Sans Condensed Light" w:hAnsi="Open Sans Condensed Light"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C7C21DE"/>
    <w:multiLevelType w:val="hybridMultilevel"/>
    <w:tmpl w:val="E2FA250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154625C"/>
    <w:multiLevelType w:val="hybridMultilevel"/>
    <w:tmpl w:val="57FA791C"/>
    <w:lvl w:ilvl="0" w:tplc="89A4BE7C">
      <w:start w:val="1"/>
      <w:numFmt w:val="bullet"/>
      <w:pStyle w:val="pListeAnstrichText"/>
      <w:lvlText w:val="—"/>
      <w:lvlJc w:val="left"/>
      <w:pPr>
        <w:ind w:left="720" w:hanging="360"/>
      </w:pPr>
      <w:rPr>
        <w:rFonts w:ascii="Open Sans" w:eastAsiaTheme="minorHAnsi" w:hAnsi="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DA62639"/>
    <w:multiLevelType w:val="hybridMultilevel"/>
    <w:tmpl w:val="0EF0692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3"/>
  </w:num>
  <w:num w:numId="4">
    <w:abstractNumId w:val="15"/>
  </w:num>
  <w:num w:numId="5">
    <w:abstractNumId w:val="5"/>
  </w:num>
  <w:num w:numId="6">
    <w:abstractNumId w:val="4"/>
  </w:num>
  <w:num w:numId="7">
    <w:abstractNumId w:val="12"/>
  </w:num>
  <w:num w:numId="8">
    <w:abstractNumId w:val="6"/>
  </w:num>
  <w:num w:numId="9">
    <w:abstractNumId w:val="8"/>
  </w:num>
  <w:num w:numId="10">
    <w:abstractNumId w:val="9"/>
  </w:num>
  <w:num w:numId="11">
    <w:abstractNumId w:val="14"/>
  </w:num>
  <w:num w:numId="12">
    <w:abstractNumId w:val="16"/>
  </w:num>
  <w:num w:numId="13">
    <w:abstractNumId w:val="2"/>
  </w:num>
  <w:num w:numId="14">
    <w:abstractNumId w:val="10"/>
  </w:num>
  <w:num w:numId="15">
    <w:abstractNumId w:val="11"/>
  </w:num>
  <w:num w:numId="16">
    <w:abstractNumId w:val="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embedTrueType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D12"/>
    <w:rsid w:val="00002782"/>
    <w:rsid w:val="00004E20"/>
    <w:rsid w:val="00011BCE"/>
    <w:rsid w:val="00012EF6"/>
    <w:rsid w:val="000150F2"/>
    <w:rsid w:val="0002733F"/>
    <w:rsid w:val="000301CA"/>
    <w:rsid w:val="00032F31"/>
    <w:rsid w:val="00040036"/>
    <w:rsid w:val="00042084"/>
    <w:rsid w:val="00051E6D"/>
    <w:rsid w:val="00063D44"/>
    <w:rsid w:val="00067A2C"/>
    <w:rsid w:val="00094D17"/>
    <w:rsid w:val="000A593B"/>
    <w:rsid w:val="000B0B77"/>
    <w:rsid w:val="000B3D43"/>
    <w:rsid w:val="000C0751"/>
    <w:rsid w:val="000C0D5E"/>
    <w:rsid w:val="000C0DAC"/>
    <w:rsid w:val="000E2EA6"/>
    <w:rsid w:val="000E4A03"/>
    <w:rsid w:val="000F0204"/>
    <w:rsid w:val="000F7D39"/>
    <w:rsid w:val="0011233E"/>
    <w:rsid w:val="00112F20"/>
    <w:rsid w:val="001248B5"/>
    <w:rsid w:val="001249B6"/>
    <w:rsid w:val="001458D0"/>
    <w:rsid w:val="0015128F"/>
    <w:rsid w:val="001527DD"/>
    <w:rsid w:val="001552F4"/>
    <w:rsid w:val="0016056A"/>
    <w:rsid w:val="00165579"/>
    <w:rsid w:val="00165F5B"/>
    <w:rsid w:val="00197B30"/>
    <w:rsid w:val="001C2D95"/>
    <w:rsid w:val="001C6AF9"/>
    <w:rsid w:val="001F3D42"/>
    <w:rsid w:val="00201940"/>
    <w:rsid w:val="00202E57"/>
    <w:rsid w:val="00204B4C"/>
    <w:rsid w:val="00213EE8"/>
    <w:rsid w:val="00214452"/>
    <w:rsid w:val="00217459"/>
    <w:rsid w:val="002240BA"/>
    <w:rsid w:val="0024081E"/>
    <w:rsid w:val="002417FB"/>
    <w:rsid w:val="00245807"/>
    <w:rsid w:val="0024581A"/>
    <w:rsid w:val="0024600E"/>
    <w:rsid w:val="00250DE7"/>
    <w:rsid w:val="00252387"/>
    <w:rsid w:val="00254C61"/>
    <w:rsid w:val="00261365"/>
    <w:rsid w:val="00277CFA"/>
    <w:rsid w:val="002818F2"/>
    <w:rsid w:val="0029115B"/>
    <w:rsid w:val="0029135C"/>
    <w:rsid w:val="002A1C98"/>
    <w:rsid w:val="002A2A34"/>
    <w:rsid w:val="002A62F6"/>
    <w:rsid w:val="002A799B"/>
    <w:rsid w:val="002C2330"/>
    <w:rsid w:val="002C51B3"/>
    <w:rsid w:val="002C79F8"/>
    <w:rsid w:val="002D1B18"/>
    <w:rsid w:val="002D63A8"/>
    <w:rsid w:val="002F2AAF"/>
    <w:rsid w:val="00302EE4"/>
    <w:rsid w:val="003045D9"/>
    <w:rsid w:val="003061D6"/>
    <w:rsid w:val="00315D7B"/>
    <w:rsid w:val="0031725B"/>
    <w:rsid w:val="003228AF"/>
    <w:rsid w:val="00332E2D"/>
    <w:rsid w:val="0033616A"/>
    <w:rsid w:val="0034183A"/>
    <w:rsid w:val="00357CB2"/>
    <w:rsid w:val="003600DB"/>
    <w:rsid w:val="003662D4"/>
    <w:rsid w:val="00386BAF"/>
    <w:rsid w:val="00387B2C"/>
    <w:rsid w:val="003B1663"/>
    <w:rsid w:val="003B1BD3"/>
    <w:rsid w:val="003B6D92"/>
    <w:rsid w:val="003B78F2"/>
    <w:rsid w:val="003C4B84"/>
    <w:rsid w:val="003D1C5E"/>
    <w:rsid w:val="003D5C0B"/>
    <w:rsid w:val="003D63A5"/>
    <w:rsid w:val="003D77BB"/>
    <w:rsid w:val="003D7E5C"/>
    <w:rsid w:val="003E5300"/>
    <w:rsid w:val="003E5E24"/>
    <w:rsid w:val="003F1952"/>
    <w:rsid w:val="003F53B0"/>
    <w:rsid w:val="00403EEF"/>
    <w:rsid w:val="0041426B"/>
    <w:rsid w:val="004157EB"/>
    <w:rsid w:val="00417E31"/>
    <w:rsid w:val="0042420A"/>
    <w:rsid w:val="004275D9"/>
    <w:rsid w:val="00433235"/>
    <w:rsid w:val="00435829"/>
    <w:rsid w:val="00437C6D"/>
    <w:rsid w:val="004704AD"/>
    <w:rsid w:val="004710F4"/>
    <w:rsid w:val="00471FF8"/>
    <w:rsid w:val="00473755"/>
    <w:rsid w:val="00481357"/>
    <w:rsid w:val="00484A22"/>
    <w:rsid w:val="00484E2D"/>
    <w:rsid w:val="004A491A"/>
    <w:rsid w:val="004B4DAB"/>
    <w:rsid w:val="004B6286"/>
    <w:rsid w:val="004C2682"/>
    <w:rsid w:val="004C49C8"/>
    <w:rsid w:val="004E2CF4"/>
    <w:rsid w:val="004E300C"/>
    <w:rsid w:val="004E7D3D"/>
    <w:rsid w:val="004F0038"/>
    <w:rsid w:val="004F2633"/>
    <w:rsid w:val="005012DE"/>
    <w:rsid w:val="00507277"/>
    <w:rsid w:val="00512155"/>
    <w:rsid w:val="00512689"/>
    <w:rsid w:val="00515149"/>
    <w:rsid w:val="00524CD4"/>
    <w:rsid w:val="005435E4"/>
    <w:rsid w:val="00543DC5"/>
    <w:rsid w:val="005517C0"/>
    <w:rsid w:val="00566FBA"/>
    <w:rsid w:val="00572A13"/>
    <w:rsid w:val="005777FA"/>
    <w:rsid w:val="00577C66"/>
    <w:rsid w:val="00577E2B"/>
    <w:rsid w:val="005851D1"/>
    <w:rsid w:val="0058523A"/>
    <w:rsid w:val="00595993"/>
    <w:rsid w:val="005A4542"/>
    <w:rsid w:val="005C0DE6"/>
    <w:rsid w:val="005D5E63"/>
    <w:rsid w:val="005E49BA"/>
    <w:rsid w:val="005F30AE"/>
    <w:rsid w:val="0060665C"/>
    <w:rsid w:val="00610548"/>
    <w:rsid w:val="006222A7"/>
    <w:rsid w:val="00623A73"/>
    <w:rsid w:val="00630FE9"/>
    <w:rsid w:val="00640824"/>
    <w:rsid w:val="006420BB"/>
    <w:rsid w:val="00646C90"/>
    <w:rsid w:val="00660E2E"/>
    <w:rsid w:val="00670891"/>
    <w:rsid w:val="00672380"/>
    <w:rsid w:val="0067243F"/>
    <w:rsid w:val="00673ABA"/>
    <w:rsid w:val="0067736C"/>
    <w:rsid w:val="00692740"/>
    <w:rsid w:val="006936B9"/>
    <w:rsid w:val="00697B5D"/>
    <w:rsid w:val="006A1028"/>
    <w:rsid w:val="006B4F10"/>
    <w:rsid w:val="006C4317"/>
    <w:rsid w:val="006D19BA"/>
    <w:rsid w:val="006D501F"/>
    <w:rsid w:val="006E4761"/>
    <w:rsid w:val="006F69B0"/>
    <w:rsid w:val="00702BA8"/>
    <w:rsid w:val="00706431"/>
    <w:rsid w:val="00714CA6"/>
    <w:rsid w:val="0071576E"/>
    <w:rsid w:val="00715CBE"/>
    <w:rsid w:val="00723254"/>
    <w:rsid w:val="007266F4"/>
    <w:rsid w:val="007315A6"/>
    <w:rsid w:val="0073729D"/>
    <w:rsid w:val="00737709"/>
    <w:rsid w:val="00743E9E"/>
    <w:rsid w:val="00746E92"/>
    <w:rsid w:val="0076001F"/>
    <w:rsid w:val="007618FC"/>
    <w:rsid w:val="00767A96"/>
    <w:rsid w:val="00770B07"/>
    <w:rsid w:val="00774F2B"/>
    <w:rsid w:val="00785E2C"/>
    <w:rsid w:val="00794C42"/>
    <w:rsid w:val="00797ABE"/>
    <w:rsid w:val="007B0F75"/>
    <w:rsid w:val="007B3B3C"/>
    <w:rsid w:val="007C3B6D"/>
    <w:rsid w:val="007F12EE"/>
    <w:rsid w:val="007F1BB7"/>
    <w:rsid w:val="007F5F93"/>
    <w:rsid w:val="0080377A"/>
    <w:rsid w:val="008048C7"/>
    <w:rsid w:val="00813AC4"/>
    <w:rsid w:val="008275E3"/>
    <w:rsid w:val="0084047E"/>
    <w:rsid w:val="00850939"/>
    <w:rsid w:val="00850D53"/>
    <w:rsid w:val="00852324"/>
    <w:rsid w:val="00854BFE"/>
    <w:rsid w:val="00865AAF"/>
    <w:rsid w:val="00865DBF"/>
    <w:rsid w:val="00875643"/>
    <w:rsid w:val="008801C7"/>
    <w:rsid w:val="00885C17"/>
    <w:rsid w:val="00886C43"/>
    <w:rsid w:val="008A054B"/>
    <w:rsid w:val="008A4FE0"/>
    <w:rsid w:val="008B1BB5"/>
    <w:rsid w:val="008E2385"/>
    <w:rsid w:val="008F3C3F"/>
    <w:rsid w:val="0090090A"/>
    <w:rsid w:val="0090554C"/>
    <w:rsid w:val="009075A4"/>
    <w:rsid w:val="00916238"/>
    <w:rsid w:val="00917116"/>
    <w:rsid w:val="00920C5C"/>
    <w:rsid w:val="00922D18"/>
    <w:rsid w:val="0092352F"/>
    <w:rsid w:val="00926589"/>
    <w:rsid w:val="0093101A"/>
    <w:rsid w:val="0093653F"/>
    <w:rsid w:val="00950866"/>
    <w:rsid w:val="00957D7C"/>
    <w:rsid w:val="00957E5A"/>
    <w:rsid w:val="00957EB2"/>
    <w:rsid w:val="009639AB"/>
    <w:rsid w:val="00971C84"/>
    <w:rsid w:val="00975FF1"/>
    <w:rsid w:val="009802FF"/>
    <w:rsid w:val="009805C8"/>
    <w:rsid w:val="00991910"/>
    <w:rsid w:val="009962E7"/>
    <w:rsid w:val="00997732"/>
    <w:rsid w:val="00997AFE"/>
    <w:rsid w:val="009A16B4"/>
    <w:rsid w:val="009A1770"/>
    <w:rsid w:val="009A36A0"/>
    <w:rsid w:val="009A5CC3"/>
    <w:rsid w:val="009B47A1"/>
    <w:rsid w:val="009D6115"/>
    <w:rsid w:val="009E42A3"/>
    <w:rsid w:val="009F5EE6"/>
    <w:rsid w:val="009F727A"/>
    <w:rsid w:val="00A1414E"/>
    <w:rsid w:val="00A20F39"/>
    <w:rsid w:val="00A246D4"/>
    <w:rsid w:val="00A3258E"/>
    <w:rsid w:val="00A33529"/>
    <w:rsid w:val="00A3614B"/>
    <w:rsid w:val="00A36DAD"/>
    <w:rsid w:val="00A45696"/>
    <w:rsid w:val="00A6088B"/>
    <w:rsid w:val="00A62BD5"/>
    <w:rsid w:val="00A675AF"/>
    <w:rsid w:val="00A71F14"/>
    <w:rsid w:val="00A77480"/>
    <w:rsid w:val="00A77B7B"/>
    <w:rsid w:val="00A811D5"/>
    <w:rsid w:val="00A844C7"/>
    <w:rsid w:val="00A91B41"/>
    <w:rsid w:val="00AA07FC"/>
    <w:rsid w:val="00AA0F4F"/>
    <w:rsid w:val="00AA1040"/>
    <w:rsid w:val="00AC78CF"/>
    <w:rsid w:val="00AD2D3C"/>
    <w:rsid w:val="00AE3BE3"/>
    <w:rsid w:val="00AF184C"/>
    <w:rsid w:val="00B02E7A"/>
    <w:rsid w:val="00B16736"/>
    <w:rsid w:val="00B21E61"/>
    <w:rsid w:val="00B31494"/>
    <w:rsid w:val="00B32EAE"/>
    <w:rsid w:val="00B44BE8"/>
    <w:rsid w:val="00B46FDB"/>
    <w:rsid w:val="00B5396F"/>
    <w:rsid w:val="00B5533B"/>
    <w:rsid w:val="00B55AF4"/>
    <w:rsid w:val="00B6751D"/>
    <w:rsid w:val="00B7073E"/>
    <w:rsid w:val="00B722EA"/>
    <w:rsid w:val="00B74FAD"/>
    <w:rsid w:val="00B86AEF"/>
    <w:rsid w:val="00BA06E5"/>
    <w:rsid w:val="00BA25C4"/>
    <w:rsid w:val="00BA7DB5"/>
    <w:rsid w:val="00BB323A"/>
    <w:rsid w:val="00BB4948"/>
    <w:rsid w:val="00BB65E4"/>
    <w:rsid w:val="00BC605D"/>
    <w:rsid w:val="00BD17DF"/>
    <w:rsid w:val="00BD25A5"/>
    <w:rsid w:val="00BE11C1"/>
    <w:rsid w:val="00BE18F2"/>
    <w:rsid w:val="00BE38D7"/>
    <w:rsid w:val="00BF1131"/>
    <w:rsid w:val="00BF2513"/>
    <w:rsid w:val="00BF30EE"/>
    <w:rsid w:val="00BF312F"/>
    <w:rsid w:val="00C07A61"/>
    <w:rsid w:val="00C12D12"/>
    <w:rsid w:val="00C137E1"/>
    <w:rsid w:val="00C2181E"/>
    <w:rsid w:val="00C326A1"/>
    <w:rsid w:val="00C35875"/>
    <w:rsid w:val="00C3629C"/>
    <w:rsid w:val="00C51588"/>
    <w:rsid w:val="00C649AB"/>
    <w:rsid w:val="00C77099"/>
    <w:rsid w:val="00C77373"/>
    <w:rsid w:val="00C77AB4"/>
    <w:rsid w:val="00C8175E"/>
    <w:rsid w:val="00C81E0E"/>
    <w:rsid w:val="00C8222C"/>
    <w:rsid w:val="00C877D1"/>
    <w:rsid w:val="00C93ED1"/>
    <w:rsid w:val="00CB5D69"/>
    <w:rsid w:val="00CC2C1F"/>
    <w:rsid w:val="00CC65A0"/>
    <w:rsid w:val="00CD0874"/>
    <w:rsid w:val="00CD43FB"/>
    <w:rsid w:val="00CD59A8"/>
    <w:rsid w:val="00CE461C"/>
    <w:rsid w:val="00CF5E7F"/>
    <w:rsid w:val="00D077E4"/>
    <w:rsid w:val="00D34F0E"/>
    <w:rsid w:val="00D406D9"/>
    <w:rsid w:val="00D42B71"/>
    <w:rsid w:val="00D63D86"/>
    <w:rsid w:val="00D67182"/>
    <w:rsid w:val="00D7736F"/>
    <w:rsid w:val="00D8627E"/>
    <w:rsid w:val="00D870AD"/>
    <w:rsid w:val="00D95672"/>
    <w:rsid w:val="00DB0F70"/>
    <w:rsid w:val="00DB1947"/>
    <w:rsid w:val="00DC126B"/>
    <w:rsid w:val="00DC6DBB"/>
    <w:rsid w:val="00DD2F56"/>
    <w:rsid w:val="00DE34FD"/>
    <w:rsid w:val="00DF2DD4"/>
    <w:rsid w:val="00DF72FD"/>
    <w:rsid w:val="00E0097C"/>
    <w:rsid w:val="00E11073"/>
    <w:rsid w:val="00E27170"/>
    <w:rsid w:val="00E45E49"/>
    <w:rsid w:val="00E462A8"/>
    <w:rsid w:val="00E47558"/>
    <w:rsid w:val="00E6033E"/>
    <w:rsid w:val="00E64FF9"/>
    <w:rsid w:val="00E73446"/>
    <w:rsid w:val="00E84DAB"/>
    <w:rsid w:val="00E87128"/>
    <w:rsid w:val="00EA5D52"/>
    <w:rsid w:val="00EC0DB3"/>
    <w:rsid w:val="00EC20CA"/>
    <w:rsid w:val="00EC6352"/>
    <w:rsid w:val="00EC7D14"/>
    <w:rsid w:val="00ED2C88"/>
    <w:rsid w:val="00EE4657"/>
    <w:rsid w:val="00EE4C35"/>
    <w:rsid w:val="00EF6ED0"/>
    <w:rsid w:val="00F04215"/>
    <w:rsid w:val="00F0574C"/>
    <w:rsid w:val="00F06338"/>
    <w:rsid w:val="00F120E1"/>
    <w:rsid w:val="00F15FF5"/>
    <w:rsid w:val="00F2572F"/>
    <w:rsid w:val="00F273DC"/>
    <w:rsid w:val="00F52BF7"/>
    <w:rsid w:val="00F53E46"/>
    <w:rsid w:val="00F577D3"/>
    <w:rsid w:val="00F632D3"/>
    <w:rsid w:val="00F652A6"/>
    <w:rsid w:val="00F7241F"/>
    <w:rsid w:val="00F76CE9"/>
    <w:rsid w:val="00F81720"/>
    <w:rsid w:val="00FB4130"/>
    <w:rsid w:val="00FB46B5"/>
    <w:rsid w:val="00FB5DC5"/>
    <w:rsid w:val="00FC1308"/>
    <w:rsid w:val="00FC7695"/>
    <w:rsid w:val="00FE5D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060D2D01"/>
  <w15:chartTrackingRefBased/>
  <w15:docId w15:val="{B6106247-6C8B-49F9-94DB-52F5D27B4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Open Sans" w:eastAsiaTheme="minorHAnsi" w:hAnsi="Open Sans" w:cstheme="minorBidi"/>
        <w:sz w:val="18"/>
        <w:szCs w:val="18"/>
        <w:lang w:val="de-DE"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5"/>
    <w:lsdException w:name="heading 2" w:uiPriority="9"/>
    <w:lsdException w:name="heading 3" w:semiHidden="1" w:uiPriority="9" w:qFormat="1"/>
    <w:lsdException w:name="heading 4"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76CE9"/>
    <w:pPr>
      <w:spacing w:after="120" w:line="240" w:lineRule="atLeast"/>
      <w:jc w:val="both"/>
    </w:pPr>
    <w:rPr>
      <w:rFonts w:ascii="Noto Sans" w:hAnsi="Noto Sans"/>
      <w:sz w:val="20"/>
    </w:rPr>
  </w:style>
  <w:style w:type="paragraph" w:styleId="berschrift1">
    <w:name w:val="heading 1"/>
    <w:basedOn w:val="Standard"/>
    <w:next w:val="Standard"/>
    <w:link w:val="berschrift1Zchn"/>
    <w:uiPriority w:val="5"/>
    <w:rsid w:val="00F120E1"/>
    <w:pPr>
      <w:keepNext/>
      <w:keepLines/>
      <w:shd w:val="clear" w:color="auto" w:fill="0A777F"/>
      <w:spacing w:before="360" w:after="100" w:afterAutospacing="1" w:line="480" w:lineRule="atLeast"/>
      <w:contextualSpacing/>
      <w:outlineLvl w:val="0"/>
    </w:pPr>
    <w:rPr>
      <w:rFonts w:asciiTheme="majorHAnsi" w:eastAsiaTheme="majorEastAsia" w:hAnsiTheme="majorHAnsi" w:cs="Open Sans SemiBold"/>
      <w:color w:val="FFFFFF" w:themeColor="background1"/>
      <w:sz w:val="44"/>
      <w:szCs w:val="36"/>
    </w:rPr>
  </w:style>
  <w:style w:type="paragraph" w:styleId="berschrift2">
    <w:name w:val="heading 2"/>
    <w:basedOn w:val="berschrift1"/>
    <w:next w:val="Standard"/>
    <w:link w:val="berschrift2Zchn"/>
    <w:uiPriority w:val="6"/>
    <w:rsid w:val="00EE4657"/>
    <w:pPr>
      <w:spacing w:line="240" w:lineRule="atLeast"/>
      <w:outlineLvl w:val="1"/>
    </w:pPr>
    <w:rPr>
      <w:sz w:val="30"/>
      <w:szCs w:val="28"/>
    </w:rPr>
  </w:style>
  <w:style w:type="paragraph" w:styleId="berschrift3">
    <w:name w:val="heading 3"/>
    <w:basedOn w:val="Standard"/>
    <w:next w:val="Standard"/>
    <w:link w:val="berschrift3Zchn"/>
    <w:uiPriority w:val="7"/>
    <w:qFormat/>
    <w:rsid w:val="00EE4657"/>
    <w:pPr>
      <w:keepNext/>
      <w:keepLines/>
      <w:spacing w:before="240"/>
      <w:outlineLvl w:val="2"/>
    </w:pPr>
    <w:rPr>
      <w:rFonts w:eastAsiaTheme="majorEastAsia" w:cs="Open Sans SemiBold"/>
      <w:b/>
      <w:sz w:val="24"/>
      <w:szCs w:val="24"/>
    </w:rPr>
  </w:style>
  <w:style w:type="paragraph" w:styleId="berschrift4">
    <w:name w:val="heading 4"/>
    <w:basedOn w:val="Standard"/>
    <w:next w:val="Standard"/>
    <w:link w:val="berschrift4Zchn"/>
    <w:uiPriority w:val="9"/>
    <w:rsid w:val="00DF2DD4"/>
    <w:pPr>
      <w:keepNext/>
      <w:keepLines/>
      <w:spacing w:before="40" w:after="0"/>
      <w:outlineLvl w:val="3"/>
    </w:pPr>
    <w:rPr>
      <w:rFonts w:asciiTheme="majorHAnsi" w:eastAsiaTheme="majorEastAsia" w:hAnsiTheme="majorHAnsi" w:cstheme="majorHAnsi"/>
      <w:iCs/>
    </w:rPr>
  </w:style>
  <w:style w:type="paragraph" w:styleId="berschrift5">
    <w:name w:val="heading 5"/>
    <w:basedOn w:val="Dokumenttitel"/>
    <w:next w:val="Standard"/>
    <w:link w:val="berschrift5Zchn"/>
    <w:uiPriority w:val="9"/>
    <w:unhideWhenUsed/>
    <w:qFormat/>
    <w:rsid w:val="00DF2DD4"/>
    <w:pPr>
      <w:numPr>
        <w:numId w:val="5"/>
      </w:numPr>
      <w:tabs>
        <w:tab w:val="left" w:pos="284"/>
      </w:tabs>
      <w:spacing w:before="240"/>
      <w:ind w:left="284" w:hanging="284"/>
      <w:outlineLvl w:val="4"/>
    </w:pPr>
    <w:rPr>
      <w:b/>
      <w:color w:val="auto"/>
      <w:sz w:val="18"/>
    </w:rPr>
  </w:style>
  <w:style w:type="paragraph" w:styleId="berschrift6">
    <w:name w:val="heading 6"/>
    <w:basedOn w:val="Standard"/>
    <w:next w:val="Standard"/>
    <w:link w:val="berschrift6Zchn"/>
    <w:uiPriority w:val="9"/>
    <w:semiHidden/>
    <w:unhideWhenUsed/>
    <w:qFormat/>
    <w:rsid w:val="00DF2DD4"/>
    <w:pPr>
      <w:keepNext/>
      <w:keepLines/>
      <w:numPr>
        <w:numId w:val="6"/>
      </w:numPr>
      <w:tabs>
        <w:tab w:val="left" w:pos="284"/>
      </w:tabs>
      <w:spacing w:before="240" w:after="0"/>
      <w:ind w:left="284" w:hanging="284"/>
      <w:outlineLvl w:val="5"/>
    </w:pPr>
    <w:rPr>
      <w:rFonts w:eastAsiaTheme="majorEastAsia"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B65E4"/>
    <w:pPr>
      <w:spacing w:after="0" w:line="240" w:lineRule="auto"/>
    </w:pPr>
    <w:rPr>
      <w:rFonts w:ascii="Segoe UI" w:hAnsi="Segoe UI" w:cs="Segoe UI"/>
    </w:rPr>
  </w:style>
  <w:style w:type="character" w:customStyle="1" w:styleId="SprechblasentextZchn">
    <w:name w:val="Sprechblasentext Zchn"/>
    <w:basedOn w:val="Absatz-Standardschriftart"/>
    <w:link w:val="Sprechblasentext"/>
    <w:uiPriority w:val="99"/>
    <w:semiHidden/>
    <w:rsid w:val="00BB65E4"/>
    <w:rPr>
      <w:rFonts w:ascii="Segoe UI" w:hAnsi="Segoe UI" w:cs="Segoe UI"/>
      <w:sz w:val="18"/>
      <w:szCs w:val="18"/>
    </w:rPr>
  </w:style>
  <w:style w:type="character" w:customStyle="1" w:styleId="berschrift1Zchn">
    <w:name w:val="Überschrift 1 Zchn"/>
    <w:basedOn w:val="Absatz-Standardschriftart"/>
    <w:link w:val="berschrift1"/>
    <w:uiPriority w:val="5"/>
    <w:rsid w:val="00F120E1"/>
    <w:rPr>
      <w:rFonts w:asciiTheme="majorHAnsi" w:eastAsiaTheme="majorEastAsia" w:hAnsiTheme="majorHAnsi" w:cs="Open Sans SemiBold"/>
      <w:color w:val="FFFFFF" w:themeColor="background1"/>
      <w:sz w:val="44"/>
      <w:szCs w:val="36"/>
      <w:shd w:val="clear" w:color="auto" w:fill="0A777F"/>
    </w:rPr>
  </w:style>
  <w:style w:type="character" w:customStyle="1" w:styleId="berschrift2Zchn">
    <w:name w:val="Überschrift 2 Zchn"/>
    <w:basedOn w:val="Absatz-Standardschriftart"/>
    <w:link w:val="berschrift2"/>
    <w:uiPriority w:val="6"/>
    <w:rsid w:val="00EE4657"/>
    <w:rPr>
      <w:rFonts w:asciiTheme="majorHAnsi" w:eastAsiaTheme="majorEastAsia" w:hAnsiTheme="majorHAnsi" w:cs="Open Sans SemiBold"/>
      <w:sz w:val="30"/>
      <w:szCs w:val="28"/>
    </w:rPr>
  </w:style>
  <w:style w:type="character" w:customStyle="1" w:styleId="Kursiv">
    <w:name w:val="Kursiv"/>
    <w:basedOn w:val="Absatz-Standardschriftart"/>
    <w:uiPriority w:val="1"/>
    <w:qFormat/>
    <w:rsid w:val="00670891"/>
    <w:rPr>
      <w:i/>
    </w:rPr>
  </w:style>
  <w:style w:type="character" w:customStyle="1" w:styleId="berschrift5Zchn">
    <w:name w:val="Überschrift 5 Zchn"/>
    <w:basedOn w:val="Absatz-Standardschriftart"/>
    <w:link w:val="berschrift5"/>
    <w:uiPriority w:val="9"/>
    <w:rsid w:val="00DF2DD4"/>
    <w:rPr>
      <w:rFonts w:asciiTheme="majorHAnsi" w:hAnsiTheme="majorHAnsi"/>
      <w:szCs w:val="64"/>
    </w:rPr>
  </w:style>
  <w:style w:type="table" w:styleId="Tabellenraster">
    <w:name w:val="Table Grid"/>
    <w:basedOn w:val="NormaleTabelle"/>
    <w:uiPriority w:val="39"/>
    <w:rsid w:val="00DF7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bereichStandard">
    <w:name w:val="Fußbereich Standard"/>
    <w:basedOn w:val="Standard"/>
    <w:uiPriority w:val="4"/>
    <w:rsid w:val="00BA06E5"/>
    <w:pPr>
      <w:framePr w:hSpace="142" w:wrap="around" w:vAnchor="page" w:hAnchor="margin" w:y="14176"/>
      <w:spacing w:after="0" w:line="160" w:lineRule="exact"/>
      <w:suppressOverlap/>
    </w:pPr>
    <w:rPr>
      <w:color w:val="E7E6E6" w:themeColor="background2"/>
      <w:spacing w:val="4"/>
      <w:sz w:val="12"/>
    </w:rPr>
  </w:style>
  <w:style w:type="paragraph" w:styleId="KeinLeerraum">
    <w:name w:val="No Spacing"/>
    <w:link w:val="KeinLeerraumZchn"/>
    <w:uiPriority w:val="1"/>
    <w:qFormat/>
    <w:rsid w:val="0029115B"/>
    <w:pPr>
      <w:spacing w:after="0" w:line="240" w:lineRule="auto"/>
    </w:pPr>
    <w:rPr>
      <w:rFonts w:ascii="Noto Sans" w:eastAsiaTheme="minorEastAsia" w:hAnsi="Noto Sans"/>
      <w:sz w:val="22"/>
      <w:szCs w:val="22"/>
      <w:lang w:eastAsia="de-DE"/>
    </w:rPr>
  </w:style>
  <w:style w:type="character" w:customStyle="1" w:styleId="KeinLeerraumZchn">
    <w:name w:val="Kein Leerraum Zchn"/>
    <w:basedOn w:val="Absatz-Standardschriftart"/>
    <w:link w:val="KeinLeerraum"/>
    <w:uiPriority w:val="1"/>
    <w:rsid w:val="0029115B"/>
    <w:rPr>
      <w:rFonts w:ascii="Noto Sans" w:eastAsiaTheme="minorEastAsia" w:hAnsi="Noto Sans"/>
      <w:sz w:val="22"/>
      <w:szCs w:val="22"/>
      <w:lang w:eastAsia="de-DE"/>
    </w:rPr>
  </w:style>
  <w:style w:type="character" w:customStyle="1" w:styleId="berschrift4Zchn">
    <w:name w:val="Überschrift 4 Zchn"/>
    <w:basedOn w:val="Absatz-Standardschriftart"/>
    <w:link w:val="berschrift4"/>
    <w:uiPriority w:val="9"/>
    <w:rsid w:val="00DF2DD4"/>
    <w:rPr>
      <w:rFonts w:asciiTheme="majorHAnsi" w:eastAsiaTheme="majorEastAsia" w:hAnsiTheme="majorHAnsi" w:cstheme="majorHAnsi"/>
      <w:iCs/>
    </w:rPr>
  </w:style>
  <w:style w:type="character" w:customStyle="1" w:styleId="berschrift3Zchn">
    <w:name w:val="Überschrift 3 Zchn"/>
    <w:basedOn w:val="Absatz-Standardschriftart"/>
    <w:link w:val="berschrift3"/>
    <w:uiPriority w:val="7"/>
    <w:rsid w:val="00EE4657"/>
    <w:rPr>
      <w:rFonts w:ascii="Noto Sans" w:eastAsiaTheme="majorEastAsia" w:hAnsi="Noto Sans" w:cs="Open Sans SemiBold"/>
      <w:b/>
      <w:sz w:val="24"/>
      <w:szCs w:val="24"/>
    </w:rPr>
  </w:style>
  <w:style w:type="paragraph" w:styleId="Beschriftung">
    <w:name w:val="caption"/>
    <w:basedOn w:val="Standard"/>
    <w:next w:val="Standard"/>
    <w:uiPriority w:val="35"/>
    <w:qFormat/>
    <w:rsid w:val="00B32EAE"/>
    <w:pPr>
      <w:spacing w:before="120" w:after="200" w:line="240" w:lineRule="auto"/>
    </w:pPr>
    <w:rPr>
      <w:i/>
      <w:iCs/>
      <w:color w:val="323F4B"/>
      <w:sz w:val="16"/>
      <w:szCs w:val="16"/>
    </w:rPr>
  </w:style>
  <w:style w:type="paragraph" w:customStyle="1" w:styleId="b03berschriftblauStandard">
    <w:name w:val="b_03_Überschrift (blau_Standard)"/>
    <w:basedOn w:val="Standard"/>
    <w:next w:val="Standard"/>
    <w:uiPriority w:val="99"/>
    <w:rsid w:val="0029115B"/>
    <w:pPr>
      <w:autoSpaceDE w:val="0"/>
      <w:autoSpaceDN w:val="0"/>
      <w:adjustRightInd w:val="0"/>
      <w:spacing w:before="113" w:after="113" w:line="1120" w:lineRule="atLeast"/>
      <w:textAlignment w:val="center"/>
    </w:pPr>
    <w:rPr>
      <w:rFonts w:cs="Open Sans SemiBold"/>
      <w:b/>
      <w:color w:val="000065"/>
      <w:sz w:val="92"/>
      <w:szCs w:val="92"/>
    </w:rPr>
  </w:style>
  <w:style w:type="character" w:styleId="Fett">
    <w:name w:val="Strong"/>
    <w:basedOn w:val="Absatz-Standardschriftart"/>
    <w:uiPriority w:val="22"/>
    <w:qFormat/>
    <w:rsid w:val="00D34F0E"/>
    <w:rPr>
      <w:b/>
      <w:bCs/>
    </w:rPr>
  </w:style>
  <w:style w:type="character" w:customStyle="1" w:styleId="Querbalken1Ebenefett">
    <w:name w:val="Querbalken 1. Ebene fett"/>
    <w:basedOn w:val="Fett"/>
    <w:uiPriority w:val="3"/>
    <w:rsid w:val="003D7E5C"/>
    <w:rPr>
      <w:rFonts w:ascii="Open Sans" w:hAnsi="Open Sans"/>
      <w:b/>
      <w:bCs/>
      <w:color w:val="E7E6E6" w:themeColor="background2"/>
      <w:sz w:val="18"/>
    </w:rPr>
  </w:style>
  <w:style w:type="paragraph" w:styleId="Kopfzeile">
    <w:name w:val="header"/>
    <w:basedOn w:val="Standard"/>
    <w:link w:val="KopfzeileZchn"/>
    <w:uiPriority w:val="99"/>
    <w:semiHidden/>
    <w:rsid w:val="00702BA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A77B7B"/>
    <w:rPr>
      <w:color w:val="000000" w:themeColor="text1"/>
    </w:rPr>
  </w:style>
  <w:style w:type="paragraph" w:styleId="Fuzeile">
    <w:name w:val="footer"/>
    <w:basedOn w:val="Standard"/>
    <w:link w:val="FuzeileZchn"/>
    <w:uiPriority w:val="99"/>
    <w:rsid w:val="00975FF1"/>
    <w:pPr>
      <w:tabs>
        <w:tab w:val="center" w:pos="4536"/>
        <w:tab w:val="right" w:pos="9072"/>
      </w:tabs>
      <w:spacing w:after="0" w:line="240" w:lineRule="auto"/>
    </w:pPr>
    <w:rPr>
      <w:sz w:val="16"/>
    </w:rPr>
  </w:style>
  <w:style w:type="character" w:customStyle="1" w:styleId="FuzeileZchn">
    <w:name w:val="Fußzeile Zchn"/>
    <w:basedOn w:val="Absatz-Standardschriftart"/>
    <w:link w:val="Fuzeile"/>
    <w:uiPriority w:val="99"/>
    <w:qFormat/>
    <w:rsid w:val="00975FF1"/>
    <w:rPr>
      <w:sz w:val="16"/>
    </w:rPr>
  </w:style>
  <w:style w:type="paragraph" w:customStyle="1" w:styleId="SeitenzahlFolgeseiten">
    <w:name w:val="Seitenzahl Folgeseiten"/>
    <w:basedOn w:val="Fuzeile"/>
    <w:link w:val="SeitenzahlFolgeseitenZchn"/>
    <w:uiPriority w:val="10"/>
    <w:qFormat/>
    <w:rsid w:val="0029115B"/>
    <w:pPr>
      <w:jc w:val="right"/>
    </w:pPr>
    <w:rPr>
      <w:sz w:val="18"/>
    </w:rPr>
  </w:style>
  <w:style w:type="paragraph" w:customStyle="1" w:styleId="b05TextblauStandard">
    <w:name w:val="b_05_Text (blau_Standard)"/>
    <w:basedOn w:val="Standard"/>
    <w:uiPriority w:val="99"/>
    <w:rsid w:val="0029115B"/>
    <w:pPr>
      <w:keepLines/>
      <w:autoSpaceDE w:val="0"/>
      <w:autoSpaceDN w:val="0"/>
      <w:adjustRightInd w:val="0"/>
      <w:spacing w:after="113" w:line="560" w:lineRule="atLeast"/>
      <w:textAlignment w:val="center"/>
    </w:pPr>
    <w:rPr>
      <w:rFonts w:cs="Open Sans"/>
      <w:color w:val="000065"/>
      <w:sz w:val="46"/>
      <w:szCs w:val="46"/>
    </w:rPr>
  </w:style>
  <w:style w:type="character" w:customStyle="1" w:styleId="SeitenzahlFolgeseitenZchn">
    <w:name w:val="Seitenzahl Folgeseiten Zchn"/>
    <w:basedOn w:val="FuzeileZchn"/>
    <w:link w:val="SeitenzahlFolgeseiten"/>
    <w:uiPriority w:val="10"/>
    <w:rsid w:val="0029115B"/>
    <w:rPr>
      <w:rFonts w:ascii="Noto Sans" w:hAnsi="Noto Sans"/>
      <w:sz w:val="16"/>
    </w:rPr>
  </w:style>
  <w:style w:type="paragraph" w:styleId="Inhaltsverzeichnisberschrift">
    <w:name w:val="TOC Heading"/>
    <w:basedOn w:val="berschrift1"/>
    <w:next w:val="Standard"/>
    <w:uiPriority w:val="39"/>
    <w:unhideWhenUsed/>
    <w:qFormat/>
    <w:rsid w:val="00886C43"/>
    <w:pPr>
      <w:spacing w:after="0" w:line="259" w:lineRule="auto"/>
      <w:outlineLvl w:val="9"/>
    </w:pPr>
    <w:rPr>
      <w:rFonts w:cstheme="majorBidi"/>
      <w:szCs w:val="32"/>
      <w:lang w:eastAsia="de-DE"/>
    </w:rPr>
  </w:style>
  <w:style w:type="character" w:customStyle="1" w:styleId="berschrift6Zchn">
    <w:name w:val="Überschrift 6 Zchn"/>
    <w:basedOn w:val="Absatz-Standardschriftart"/>
    <w:link w:val="berschrift6"/>
    <w:uiPriority w:val="9"/>
    <w:semiHidden/>
    <w:rsid w:val="00DF2DD4"/>
    <w:rPr>
      <w:rFonts w:ascii="Noto Sans" w:eastAsiaTheme="majorEastAsia" w:hAnsi="Noto Sans" w:cstheme="majorBidi"/>
    </w:rPr>
  </w:style>
  <w:style w:type="paragraph" w:customStyle="1" w:styleId="H1HeadlineHeadlines">
    <w:name w:val="H1 Headline (Headlines)"/>
    <w:basedOn w:val="Standard"/>
    <w:uiPriority w:val="99"/>
    <w:rsid w:val="00B32EAE"/>
    <w:pPr>
      <w:autoSpaceDE w:val="0"/>
      <w:autoSpaceDN w:val="0"/>
      <w:adjustRightInd w:val="0"/>
      <w:spacing w:before="240" w:after="0" w:line="480" w:lineRule="atLeast"/>
      <w:textAlignment w:val="center"/>
    </w:pPr>
    <w:rPr>
      <w:rFonts w:ascii="Noto Sans SemiBold" w:hAnsi="Noto Sans SemiBold" w:cs="Noto Sans SemiBold"/>
      <w:bCs/>
      <w:color w:val="000000"/>
      <w:sz w:val="44"/>
      <w:szCs w:val="44"/>
    </w:rPr>
  </w:style>
  <w:style w:type="paragraph" w:styleId="Untertitel">
    <w:name w:val="Subtitle"/>
    <w:basedOn w:val="Standard"/>
    <w:next w:val="Standard"/>
    <w:link w:val="UntertitelZchn"/>
    <w:uiPriority w:val="11"/>
    <w:rsid w:val="00357CB2"/>
    <w:pPr>
      <w:numPr>
        <w:ilvl w:val="1"/>
      </w:numPr>
      <w:spacing w:before="240" w:after="0" w:line="600" w:lineRule="exact"/>
    </w:pPr>
    <w:rPr>
      <w:rFonts w:eastAsiaTheme="minorEastAsia"/>
      <w:color w:val="FFFFFF" w:themeColor="background1"/>
      <w:spacing w:val="15"/>
      <w:sz w:val="50"/>
      <w:szCs w:val="32"/>
    </w:rPr>
  </w:style>
  <w:style w:type="character" w:customStyle="1" w:styleId="UntertitelZchn">
    <w:name w:val="Untertitel Zchn"/>
    <w:basedOn w:val="Absatz-Standardschriftart"/>
    <w:link w:val="Untertitel"/>
    <w:uiPriority w:val="11"/>
    <w:rsid w:val="00357CB2"/>
    <w:rPr>
      <w:rFonts w:ascii="Noto Sans" w:eastAsiaTheme="minorEastAsia" w:hAnsi="Noto Sans"/>
      <w:color w:val="FFFFFF" w:themeColor="background1"/>
      <w:spacing w:val="15"/>
      <w:sz w:val="50"/>
      <w:szCs w:val="32"/>
    </w:rPr>
  </w:style>
  <w:style w:type="character" w:styleId="Hyperlink">
    <w:name w:val="Hyperlink"/>
    <w:basedOn w:val="Absatz-Standardschriftart"/>
    <w:uiPriority w:val="99"/>
    <w:rsid w:val="00D8627E"/>
    <w:rPr>
      <w:color w:val="00008C"/>
      <w:u w:val="none"/>
    </w:rPr>
  </w:style>
  <w:style w:type="paragraph" w:styleId="Verzeichnis1">
    <w:name w:val="toc 1"/>
    <w:basedOn w:val="Standard"/>
    <w:next w:val="Standard"/>
    <w:autoRedefine/>
    <w:uiPriority w:val="39"/>
    <w:rsid w:val="00886C43"/>
    <w:pPr>
      <w:spacing w:after="100"/>
    </w:pPr>
    <w:rPr>
      <w:sz w:val="24"/>
    </w:rPr>
  </w:style>
  <w:style w:type="paragraph" w:styleId="Verzeichnis2">
    <w:name w:val="toc 2"/>
    <w:basedOn w:val="Standard"/>
    <w:next w:val="Standard"/>
    <w:autoRedefine/>
    <w:uiPriority w:val="39"/>
    <w:rsid w:val="00A62BD5"/>
    <w:pPr>
      <w:spacing w:after="100"/>
      <w:ind w:left="200"/>
    </w:pPr>
  </w:style>
  <w:style w:type="paragraph" w:styleId="Verzeichnis3">
    <w:name w:val="toc 3"/>
    <w:basedOn w:val="Standard"/>
    <w:next w:val="Standard"/>
    <w:autoRedefine/>
    <w:uiPriority w:val="39"/>
    <w:unhideWhenUsed/>
    <w:rsid w:val="00A62BD5"/>
    <w:pPr>
      <w:spacing w:after="100"/>
      <w:ind w:left="400"/>
    </w:pPr>
  </w:style>
  <w:style w:type="paragraph" w:styleId="Funotentext">
    <w:name w:val="footnote text"/>
    <w:basedOn w:val="Standard"/>
    <w:link w:val="FunotentextZchn"/>
    <w:uiPriority w:val="99"/>
    <w:semiHidden/>
    <w:unhideWhenUsed/>
    <w:rsid w:val="00315D7B"/>
    <w:pPr>
      <w:spacing w:after="0" w:line="240" w:lineRule="auto"/>
    </w:pPr>
    <w:rPr>
      <w:szCs w:val="20"/>
    </w:rPr>
  </w:style>
  <w:style w:type="character" w:customStyle="1" w:styleId="FunotentextZchn">
    <w:name w:val="Fußnotentext Zchn"/>
    <w:basedOn w:val="Absatz-Standardschriftart"/>
    <w:link w:val="Funotentext"/>
    <w:uiPriority w:val="99"/>
    <w:semiHidden/>
    <w:rsid w:val="00315D7B"/>
    <w:rPr>
      <w:sz w:val="20"/>
      <w:szCs w:val="20"/>
    </w:rPr>
  </w:style>
  <w:style w:type="character" w:styleId="Funotenzeichen">
    <w:name w:val="footnote reference"/>
    <w:basedOn w:val="Absatz-Standardschriftart"/>
    <w:uiPriority w:val="99"/>
    <w:semiHidden/>
    <w:unhideWhenUsed/>
    <w:rsid w:val="00315D7B"/>
    <w:rPr>
      <w:vertAlign w:val="superscript"/>
    </w:rPr>
  </w:style>
  <w:style w:type="paragraph" w:customStyle="1" w:styleId="Funote">
    <w:name w:val="Fußnote"/>
    <w:basedOn w:val="Funotentext"/>
    <w:qFormat/>
    <w:rsid w:val="0029115B"/>
    <w:pPr>
      <w:spacing w:before="120"/>
    </w:pPr>
    <w:rPr>
      <w:i/>
      <w:sz w:val="16"/>
    </w:rPr>
  </w:style>
  <w:style w:type="paragraph" w:customStyle="1" w:styleId="Dokumenttitel">
    <w:name w:val="Dokumenttitel"/>
    <w:basedOn w:val="Standard"/>
    <w:next w:val="Untertitel"/>
    <w:qFormat/>
    <w:rsid w:val="00B32EAE"/>
    <w:pPr>
      <w:spacing w:before="2880" w:after="0" w:line="1040" w:lineRule="exact"/>
    </w:pPr>
    <w:rPr>
      <w:rFonts w:asciiTheme="majorHAnsi" w:hAnsiTheme="majorHAnsi"/>
      <w:color w:val="FFFFFF" w:themeColor="background1"/>
      <w:sz w:val="88"/>
      <w:szCs w:val="64"/>
    </w:rPr>
  </w:style>
  <w:style w:type="character" w:styleId="BesuchterLink">
    <w:name w:val="FollowedHyperlink"/>
    <w:basedOn w:val="Absatz-Standardschriftart"/>
    <w:uiPriority w:val="99"/>
    <w:semiHidden/>
    <w:unhideWhenUsed/>
    <w:rsid w:val="00CC65A0"/>
    <w:rPr>
      <w:color w:val="954F72" w:themeColor="followedHyperlink"/>
      <w:u w:val="single"/>
    </w:rPr>
  </w:style>
  <w:style w:type="paragraph" w:customStyle="1" w:styleId="pSublinezuH1Headlines">
    <w:name w:val="p_Subline zu H1 (Headlines)"/>
    <w:basedOn w:val="Standard"/>
    <w:uiPriority w:val="99"/>
    <w:rsid w:val="00886C43"/>
    <w:pPr>
      <w:autoSpaceDE w:val="0"/>
      <w:autoSpaceDN w:val="0"/>
      <w:adjustRightInd w:val="0"/>
      <w:spacing w:before="240" w:after="0" w:line="360" w:lineRule="atLeast"/>
      <w:textAlignment w:val="center"/>
    </w:pPr>
    <w:rPr>
      <w:rFonts w:cs="Noto Sans"/>
      <w:color w:val="000000"/>
      <w:sz w:val="30"/>
      <w:szCs w:val="30"/>
    </w:rPr>
  </w:style>
  <w:style w:type="paragraph" w:customStyle="1" w:styleId="pFlietextText">
    <w:name w:val="p_Fließtext (Text)"/>
    <w:basedOn w:val="Standard"/>
    <w:uiPriority w:val="99"/>
    <w:rsid w:val="00886C43"/>
    <w:pPr>
      <w:autoSpaceDE w:val="0"/>
      <w:autoSpaceDN w:val="0"/>
      <w:adjustRightInd w:val="0"/>
      <w:spacing w:before="240" w:after="0"/>
      <w:textAlignment w:val="center"/>
    </w:pPr>
    <w:rPr>
      <w:rFonts w:cs="Noto Sans"/>
      <w:color w:val="000000"/>
    </w:rPr>
  </w:style>
  <w:style w:type="paragraph" w:customStyle="1" w:styleId="pEinleitungstextText">
    <w:name w:val="p_Einleitungstext (Text)"/>
    <w:basedOn w:val="pFlietextText"/>
    <w:uiPriority w:val="99"/>
    <w:rsid w:val="00886C43"/>
    <w:pPr>
      <w:spacing w:line="300" w:lineRule="atLeast"/>
    </w:pPr>
    <w:rPr>
      <w:sz w:val="22"/>
      <w:szCs w:val="22"/>
    </w:rPr>
  </w:style>
  <w:style w:type="paragraph" w:customStyle="1" w:styleId="H2HeadlineHeadlines">
    <w:name w:val="H2 Headline (Headlines)"/>
    <w:basedOn w:val="H1HeadlineHeadlines"/>
    <w:uiPriority w:val="99"/>
    <w:rsid w:val="00886C43"/>
    <w:pPr>
      <w:spacing w:line="360" w:lineRule="atLeast"/>
    </w:pPr>
    <w:rPr>
      <w:sz w:val="30"/>
      <w:szCs w:val="30"/>
    </w:rPr>
  </w:style>
  <w:style w:type="paragraph" w:customStyle="1" w:styleId="pSublinezuH2Headlines">
    <w:name w:val="p_Subline zu H2 (Headlines)"/>
    <w:basedOn w:val="Standard"/>
    <w:uiPriority w:val="99"/>
    <w:rsid w:val="00886C43"/>
    <w:pPr>
      <w:suppressAutoHyphens/>
      <w:autoSpaceDE w:val="0"/>
      <w:autoSpaceDN w:val="0"/>
      <w:adjustRightInd w:val="0"/>
      <w:spacing w:before="120" w:after="0"/>
      <w:textAlignment w:val="center"/>
    </w:pPr>
    <w:rPr>
      <w:rFonts w:cs="Noto Sans"/>
      <w:color w:val="000000"/>
      <w:sz w:val="22"/>
      <w:szCs w:val="22"/>
    </w:rPr>
  </w:style>
  <w:style w:type="paragraph" w:customStyle="1" w:styleId="pListeAnstrichText">
    <w:name w:val="p_Liste Anstrich (Text)"/>
    <w:basedOn w:val="pFlietextText"/>
    <w:next w:val="pFlietextText"/>
    <w:uiPriority w:val="99"/>
    <w:rsid w:val="00D8627E"/>
    <w:pPr>
      <w:numPr>
        <w:numId w:val="4"/>
      </w:numPr>
      <w:tabs>
        <w:tab w:val="left" w:pos="283"/>
      </w:tabs>
      <w:spacing w:before="120"/>
      <w:ind w:left="284" w:hanging="284"/>
    </w:pPr>
  </w:style>
  <w:style w:type="paragraph" w:customStyle="1" w:styleId="H3HeadlineHeadlines">
    <w:name w:val="H3 Headline (Headlines)"/>
    <w:basedOn w:val="H2HeadlineHeadlines"/>
    <w:uiPriority w:val="99"/>
    <w:rsid w:val="00886C43"/>
    <w:pPr>
      <w:spacing w:line="300" w:lineRule="atLeast"/>
    </w:pPr>
    <w:rPr>
      <w:sz w:val="24"/>
      <w:szCs w:val="24"/>
    </w:rPr>
  </w:style>
  <w:style w:type="paragraph" w:customStyle="1" w:styleId="pZitatkleinPositionsrahmen">
    <w:name w:val="p_Zitat klein Positionsrahmen"/>
    <w:basedOn w:val="Standard"/>
    <w:uiPriority w:val="99"/>
    <w:rsid w:val="00623A73"/>
    <w:pPr>
      <w:framePr w:w="3402" w:h="3402" w:hRule="exact" w:wrap="around" w:vAnchor="text" w:hAnchor="text" w:y="1"/>
      <w:suppressAutoHyphens/>
      <w:autoSpaceDE w:val="0"/>
      <w:autoSpaceDN w:val="0"/>
      <w:adjustRightInd w:val="0"/>
      <w:spacing w:before="240" w:line="360" w:lineRule="atLeast"/>
      <w:textAlignment w:val="center"/>
    </w:pPr>
    <w:rPr>
      <w:rFonts w:ascii="Noto Serif Light" w:hAnsi="Noto Serif Light" w:cs="Noto Serif Light"/>
      <w:i/>
      <w:iCs/>
      <w:color w:val="103F8E"/>
      <w:sz w:val="30"/>
      <w:szCs w:val="30"/>
    </w:rPr>
  </w:style>
  <w:style w:type="paragraph" w:customStyle="1" w:styleId="pZitatVerfasserText">
    <w:name w:val="p_Zitat Verfasser (Text)"/>
    <w:basedOn w:val="Standard"/>
    <w:uiPriority w:val="99"/>
    <w:rsid w:val="006D501F"/>
    <w:pPr>
      <w:suppressAutoHyphens/>
      <w:autoSpaceDE w:val="0"/>
      <w:autoSpaceDN w:val="0"/>
      <w:adjustRightInd w:val="0"/>
      <w:spacing w:after="240" w:line="220" w:lineRule="atLeast"/>
      <w:textAlignment w:val="center"/>
    </w:pPr>
    <w:rPr>
      <w:rFonts w:cs="Noto Sans"/>
      <w:color w:val="2F3D46"/>
    </w:rPr>
  </w:style>
  <w:style w:type="character" w:customStyle="1" w:styleId="SemiboldSchriftschnitte">
    <w:name w:val="Semibold (Schriftschnitte)"/>
    <w:uiPriority w:val="99"/>
    <w:rsid w:val="00886C43"/>
    <w:rPr>
      <w:b/>
      <w:bCs/>
    </w:rPr>
  </w:style>
  <w:style w:type="paragraph" w:customStyle="1" w:styleId="pZitatmittelText">
    <w:name w:val="p_Zitat mittel (Text)"/>
    <w:basedOn w:val="Standard"/>
    <w:uiPriority w:val="99"/>
    <w:rsid w:val="006D501F"/>
    <w:pPr>
      <w:suppressAutoHyphens/>
      <w:autoSpaceDE w:val="0"/>
      <w:autoSpaceDN w:val="0"/>
      <w:adjustRightInd w:val="0"/>
      <w:spacing w:before="240" w:line="480" w:lineRule="atLeast"/>
      <w:textAlignment w:val="center"/>
    </w:pPr>
    <w:rPr>
      <w:rFonts w:ascii="Noto Serif Light" w:hAnsi="Noto Serif Light" w:cs="Noto Serif Light"/>
      <w:i/>
      <w:iCs/>
      <w:color w:val="103F8E"/>
      <w:sz w:val="40"/>
      <w:szCs w:val="40"/>
    </w:rPr>
  </w:style>
  <w:style w:type="paragraph" w:customStyle="1" w:styleId="pMarginalieTextText">
    <w:name w:val="p_Marginalie Text (Text)"/>
    <w:basedOn w:val="Standard"/>
    <w:uiPriority w:val="99"/>
    <w:rsid w:val="00D8627E"/>
    <w:pPr>
      <w:autoSpaceDE w:val="0"/>
      <w:autoSpaceDN w:val="0"/>
      <w:adjustRightInd w:val="0"/>
      <w:spacing w:line="180" w:lineRule="atLeast"/>
      <w:textAlignment w:val="center"/>
    </w:pPr>
    <w:rPr>
      <w:rFonts w:ascii="Noto Serif" w:hAnsi="Noto Serif" w:cs="Noto Serif"/>
      <w:color w:val="000000"/>
      <w:sz w:val="14"/>
      <w:szCs w:val="14"/>
    </w:rPr>
  </w:style>
  <w:style w:type="paragraph" w:customStyle="1" w:styleId="pMarginalieHeadlineText">
    <w:name w:val="p_Marginalie Headline (Text)"/>
    <w:basedOn w:val="pMarginalieTextText"/>
    <w:uiPriority w:val="99"/>
    <w:rsid w:val="00D8627E"/>
    <w:rPr>
      <w:b/>
      <w:bCs/>
    </w:rPr>
  </w:style>
  <w:style w:type="paragraph" w:customStyle="1" w:styleId="LIstePunkt">
    <w:name w:val="LIste Punkt"/>
    <w:basedOn w:val="pListeAnstrichText"/>
    <w:qFormat/>
    <w:rsid w:val="002C2330"/>
    <w:pPr>
      <w:numPr>
        <w:numId w:val="9"/>
      </w:numPr>
    </w:pPr>
  </w:style>
  <w:style w:type="paragraph" w:customStyle="1" w:styleId="LIsteNummer">
    <w:name w:val="LIste Nummer"/>
    <w:basedOn w:val="pListeAnstrichText"/>
    <w:qFormat/>
    <w:rsid w:val="002A1C98"/>
    <w:pPr>
      <w:numPr>
        <w:numId w:val="8"/>
      </w:numPr>
      <w:ind w:left="284" w:hanging="284"/>
    </w:pPr>
  </w:style>
  <w:style w:type="paragraph" w:customStyle="1" w:styleId="ZitatimText">
    <w:name w:val="Zitat (im Text)"/>
    <w:qFormat/>
    <w:rsid w:val="002A1C98"/>
    <w:pPr>
      <w:spacing w:before="360"/>
    </w:pPr>
    <w:rPr>
      <w:rFonts w:ascii="Noto Serif Light" w:hAnsi="Noto Serif Light" w:cs="Noto Serif Light"/>
      <w:i/>
      <w:iCs/>
      <w:color w:val="006779"/>
      <w:sz w:val="30"/>
      <w:szCs w:val="30"/>
    </w:rPr>
  </w:style>
  <w:style w:type="paragraph" w:styleId="Literaturverzeichnis">
    <w:name w:val="Bibliography"/>
    <w:basedOn w:val="Standard"/>
    <w:next w:val="Standard"/>
    <w:uiPriority w:val="37"/>
    <w:semiHidden/>
    <w:unhideWhenUsed/>
    <w:rsid w:val="002C2330"/>
  </w:style>
  <w:style w:type="paragraph" w:styleId="Listenabsatz">
    <w:name w:val="List Paragraph"/>
    <w:basedOn w:val="Standard"/>
    <w:uiPriority w:val="34"/>
    <w:qFormat/>
    <w:rsid w:val="002C2330"/>
    <w:pPr>
      <w:ind w:left="720"/>
      <w:contextualSpacing/>
    </w:pPr>
  </w:style>
  <w:style w:type="paragraph" w:styleId="Textkrper">
    <w:name w:val="Body Text"/>
    <w:basedOn w:val="Standard"/>
    <w:link w:val="TextkrperZchn"/>
    <w:rsid w:val="00DB1947"/>
    <w:pPr>
      <w:suppressAutoHyphens/>
      <w:spacing w:after="140" w:line="276" w:lineRule="auto"/>
    </w:pPr>
    <w:rPr>
      <w:rFonts w:ascii="Open Sans" w:hAnsi="Open Sans"/>
      <w:sz w:val="18"/>
      <w:lang w:val="en-US"/>
    </w:rPr>
  </w:style>
  <w:style w:type="character" w:customStyle="1" w:styleId="TextkrperZchn">
    <w:name w:val="Textkörper Zchn"/>
    <w:basedOn w:val="Absatz-Standardschriftart"/>
    <w:link w:val="Textkrper"/>
    <w:rsid w:val="00DB1947"/>
    <w:rPr>
      <w:lang w:val="en-US"/>
    </w:rPr>
  </w:style>
  <w:style w:type="character" w:customStyle="1" w:styleId="wpaicg-chat-message">
    <w:name w:val="wpaicg-chat-message"/>
    <w:basedOn w:val="Absatz-Standardschriftart"/>
    <w:rsid w:val="00F120E1"/>
  </w:style>
  <w:style w:type="character" w:styleId="Kommentarzeichen">
    <w:name w:val="annotation reference"/>
    <w:basedOn w:val="Absatz-Standardschriftart"/>
    <w:uiPriority w:val="99"/>
    <w:semiHidden/>
    <w:unhideWhenUsed/>
    <w:rsid w:val="00B74FAD"/>
    <w:rPr>
      <w:sz w:val="16"/>
      <w:szCs w:val="16"/>
    </w:rPr>
  </w:style>
  <w:style w:type="paragraph" w:styleId="Kommentartext">
    <w:name w:val="annotation text"/>
    <w:basedOn w:val="Standard"/>
    <w:link w:val="KommentartextZchn"/>
    <w:uiPriority w:val="99"/>
    <w:unhideWhenUsed/>
    <w:rsid w:val="00B74FAD"/>
    <w:pPr>
      <w:spacing w:line="240" w:lineRule="auto"/>
    </w:pPr>
    <w:rPr>
      <w:szCs w:val="20"/>
    </w:rPr>
  </w:style>
  <w:style w:type="character" w:customStyle="1" w:styleId="KommentartextZchn">
    <w:name w:val="Kommentartext Zchn"/>
    <w:basedOn w:val="Absatz-Standardschriftart"/>
    <w:link w:val="Kommentartext"/>
    <w:uiPriority w:val="99"/>
    <w:rsid w:val="00B74FAD"/>
    <w:rPr>
      <w:rFonts w:ascii="Noto Sans" w:hAnsi="Noto Sans"/>
      <w:sz w:val="20"/>
      <w:szCs w:val="20"/>
    </w:rPr>
  </w:style>
  <w:style w:type="paragraph" w:styleId="Kommentarthema">
    <w:name w:val="annotation subject"/>
    <w:basedOn w:val="Kommentartext"/>
    <w:next w:val="Kommentartext"/>
    <w:link w:val="KommentarthemaZchn"/>
    <w:uiPriority w:val="99"/>
    <w:semiHidden/>
    <w:unhideWhenUsed/>
    <w:rsid w:val="00B74FAD"/>
    <w:rPr>
      <w:b/>
      <w:bCs/>
    </w:rPr>
  </w:style>
  <w:style w:type="character" w:customStyle="1" w:styleId="KommentarthemaZchn">
    <w:name w:val="Kommentarthema Zchn"/>
    <w:basedOn w:val="KommentartextZchn"/>
    <w:link w:val="Kommentarthema"/>
    <w:uiPriority w:val="99"/>
    <w:semiHidden/>
    <w:rsid w:val="00B74FAD"/>
    <w:rPr>
      <w:rFonts w:ascii="Noto Sans" w:hAnsi="Noto Sans"/>
      <w:b/>
      <w:bCs/>
      <w:sz w:val="20"/>
      <w:szCs w:val="20"/>
    </w:rPr>
  </w:style>
  <w:style w:type="character" w:customStyle="1" w:styleId="anchor-text">
    <w:name w:val="anchor-text"/>
    <w:basedOn w:val="Absatz-Standardschriftart"/>
    <w:rsid w:val="00E0097C"/>
  </w:style>
  <w:style w:type="character" w:styleId="Hervorhebung">
    <w:name w:val="Emphasis"/>
    <w:basedOn w:val="Absatz-Standardschriftart"/>
    <w:uiPriority w:val="20"/>
    <w:qFormat/>
    <w:rsid w:val="00E0097C"/>
    <w:rPr>
      <w:i/>
      <w:iCs/>
    </w:rPr>
  </w:style>
  <w:style w:type="character" w:customStyle="1" w:styleId="srctitle-date-fields">
    <w:name w:val="srctitle-date-fields"/>
    <w:basedOn w:val="Absatz-Standardschriftart"/>
    <w:rsid w:val="00E0097C"/>
  </w:style>
  <w:style w:type="character" w:customStyle="1" w:styleId="author">
    <w:name w:val="author"/>
    <w:basedOn w:val="Absatz-Standardschriftart"/>
    <w:rsid w:val="00E00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46603">
      <w:bodyDiv w:val="1"/>
      <w:marLeft w:val="0"/>
      <w:marRight w:val="0"/>
      <w:marTop w:val="0"/>
      <w:marBottom w:val="0"/>
      <w:divBdr>
        <w:top w:val="none" w:sz="0" w:space="0" w:color="auto"/>
        <w:left w:val="none" w:sz="0" w:space="0" w:color="auto"/>
        <w:bottom w:val="none" w:sz="0" w:space="0" w:color="auto"/>
        <w:right w:val="none" w:sz="0" w:space="0" w:color="auto"/>
      </w:divBdr>
    </w:div>
    <w:div w:id="422607808">
      <w:bodyDiv w:val="1"/>
      <w:marLeft w:val="0"/>
      <w:marRight w:val="0"/>
      <w:marTop w:val="0"/>
      <w:marBottom w:val="0"/>
      <w:divBdr>
        <w:top w:val="none" w:sz="0" w:space="0" w:color="auto"/>
        <w:left w:val="none" w:sz="0" w:space="0" w:color="auto"/>
        <w:bottom w:val="none" w:sz="0" w:space="0" w:color="auto"/>
        <w:right w:val="none" w:sz="0" w:space="0" w:color="auto"/>
      </w:divBdr>
    </w:div>
    <w:div w:id="592396952">
      <w:bodyDiv w:val="1"/>
      <w:marLeft w:val="0"/>
      <w:marRight w:val="0"/>
      <w:marTop w:val="0"/>
      <w:marBottom w:val="0"/>
      <w:divBdr>
        <w:top w:val="none" w:sz="0" w:space="0" w:color="auto"/>
        <w:left w:val="none" w:sz="0" w:space="0" w:color="auto"/>
        <w:bottom w:val="none" w:sz="0" w:space="0" w:color="auto"/>
        <w:right w:val="none" w:sz="0" w:space="0" w:color="auto"/>
      </w:divBdr>
    </w:div>
    <w:div w:id="666634242">
      <w:bodyDiv w:val="1"/>
      <w:marLeft w:val="0"/>
      <w:marRight w:val="0"/>
      <w:marTop w:val="0"/>
      <w:marBottom w:val="0"/>
      <w:divBdr>
        <w:top w:val="none" w:sz="0" w:space="0" w:color="auto"/>
        <w:left w:val="none" w:sz="0" w:space="0" w:color="auto"/>
        <w:bottom w:val="none" w:sz="0" w:space="0" w:color="auto"/>
        <w:right w:val="none" w:sz="0" w:space="0" w:color="auto"/>
      </w:divBdr>
    </w:div>
    <w:div w:id="1085885849">
      <w:bodyDiv w:val="1"/>
      <w:marLeft w:val="0"/>
      <w:marRight w:val="0"/>
      <w:marTop w:val="0"/>
      <w:marBottom w:val="0"/>
      <w:divBdr>
        <w:top w:val="none" w:sz="0" w:space="0" w:color="auto"/>
        <w:left w:val="none" w:sz="0" w:space="0" w:color="auto"/>
        <w:bottom w:val="none" w:sz="0" w:space="0" w:color="auto"/>
        <w:right w:val="none" w:sz="0" w:space="0" w:color="auto"/>
      </w:divBdr>
      <w:divsChild>
        <w:div w:id="824514778">
          <w:marLeft w:val="0"/>
          <w:marRight w:val="0"/>
          <w:marTop w:val="0"/>
          <w:marBottom w:val="0"/>
          <w:divBdr>
            <w:top w:val="none" w:sz="0" w:space="0" w:color="auto"/>
            <w:left w:val="none" w:sz="0" w:space="0" w:color="auto"/>
            <w:bottom w:val="none" w:sz="0" w:space="0" w:color="auto"/>
            <w:right w:val="none" w:sz="0" w:space="0" w:color="auto"/>
          </w:divBdr>
        </w:div>
      </w:divsChild>
    </w:div>
    <w:div w:id="1529249079">
      <w:bodyDiv w:val="1"/>
      <w:marLeft w:val="0"/>
      <w:marRight w:val="0"/>
      <w:marTop w:val="0"/>
      <w:marBottom w:val="0"/>
      <w:divBdr>
        <w:top w:val="none" w:sz="0" w:space="0" w:color="auto"/>
        <w:left w:val="none" w:sz="0" w:space="0" w:color="auto"/>
        <w:bottom w:val="none" w:sz="0" w:space="0" w:color="auto"/>
        <w:right w:val="none" w:sz="0" w:space="0" w:color="auto"/>
      </w:divBdr>
    </w:div>
    <w:div w:id="1739326149">
      <w:bodyDiv w:val="1"/>
      <w:marLeft w:val="0"/>
      <w:marRight w:val="0"/>
      <w:marTop w:val="0"/>
      <w:marBottom w:val="0"/>
      <w:divBdr>
        <w:top w:val="none" w:sz="0" w:space="0" w:color="auto"/>
        <w:left w:val="none" w:sz="0" w:space="0" w:color="auto"/>
        <w:bottom w:val="none" w:sz="0" w:space="0" w:color="auto"/>
        <w:right w:val="none" w:sz="0" w:space="0" w:color="auto"/>
      </w:divBdr>
    </w:div>
    <w:div w:id="205156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mweltschutz@tu-dresden.de" TargetMode="External"/><Relationship Id="rId18" Type="http://schemas.openxmlformats.org/officeDocument/2006/relationships/hyperlink" Target="https://carusnet.med.tu-dresden.de/Service/carus-green/news/copy_of_carus-green-unsere-umwelt-initiative-sucht-sie" TargetMode="External"/><Relationship Id="rId26" Type="http://schemas.openxmlformats.org/officeDocument/2006/relationships/fontTable" Target="fontTable.xml"/><Relationship Id="rId39"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https://carusnet.med.tu-dresden.de/Service/Verwertung/medizintechnikkiosk)." TargetMode="Externa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www.sigmaaldrich.com/DE/de/campaigns/sustainable-chemistry?srsltid=AfmBOors4rgk4RThEsSgxk1wDM8tZiFGcxYIRG6M9TR7B51Smr_kJ5Zqhttps://www.sigmaaldrich.com/IN/en/campaigns/sustainable-chemistry?srsltid=AfmBOors4rgk4RThEsSgxk1wDM8tZiFGcxYIRG6M9TR7B51Smr_kJ5Zq" TargetMode="External"/><Relationship Id="rId25" Type="http://schemas.openxmlformats.org/officeDocument/2006/relationships/hyperlink" Target="https://www.sciencedirect.com/science/journal/01659936" TargetMode="External"/><Relationship Id="rId38"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s://tu-dresden.de/zih/dienste/service-katalog/arbeitsumgebung/datenspeicher" TargetMode="External"/><Relationship Id="rId20" Type="http://schemas.openxmlformats.org/officeDocument/2006/relationships/hyperlink" Target="https://intranet.tu-dresden.de/x/RI7GLQ"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www.sciencedirect.com/science/article/pii/S0165993621002065" TargetMode="External"/><Relationship Id="rId5" Type="http://schemas.openxmlformats.org/officeDocument/2006/relationships/styles" Target="styles.xml"/><Relationship Id="rId15" Type="http://schemas.openxmlformats.org/officeDocument/2006/relationships/hyperlink" Target="https://www.umweltbundesamt.de/sites/default/files/medien/11850/publikationen/leitfaden_beschaffung_software_barrierefrei_0.pdf" TargetMode="External"/><Relationship Id="rId23" Type="http://schemas.openxmlformats.org/officeDocument/2006/relationships/image" Target="media/image3.emf"/><Relationship Id="rId10" Type="http://schemas.openxmlformats.org/officeDocument/2006/relationships/footer" Target="footer1.xml"/><Relationship Id="rId19" Type="http://schemas.openxmlformats.org/officeDocument/2006/relationships/hyperlink" Target="https://tu-dresden.de/tu-dresden/nachhaltigkeit/mitmachen/nachhaltigkeit-im-hochschulallta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rusnet.med.tu-dresden.de/Service/Verwertung/moebelkiosk" TargetMode="External"/><Relationship Id="rId22" Type="http://schemas.openxmlformats.org/officeDocument/2006/relationships/footer" Target="footer2.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SG44\03_Vorlagen\Brosch&#252;ren\250808_BRO_A4_2-spalti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UD 2025">
      <a:majorFont>
        <a:latin typeface="Noto Sans SemiBold"/>
        <a:ea typeface=""/>
        <a:cs typeface=""/>
      </a:majorFont>
      <a:minorFont>
        <a:latin typeface="Noto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[Datum]</PublishDate>
  <Abstract>Weitere Informationenwie Mitarbeiter /
Kooperationspartner /
Betreuer /
…</Abstract>
  <CompanyAddress/>
  <CompanyPhone/>
  <CompanyFax/>
  <CompanyEmail/>
</CoverPageProperties>
</file>

<file path=customXml/item2.xml><?xml version="1.0" encoding="utf-8"?>
<c:configuration xmlns:c="http://ns.axespdf.com/word/configuration">
  <c:group id="Styles"/>
  <c:group id="Content">
    <c:group id="1">
      <c:property id="RoleID" type="string">FigureArtifact</c:property>
    </c:group>
    <c:group id="4">
      <c:property id="RoleID" type="string">FigureArtifact</c:property>
    </c:group>
    <c:group id="3">
      <c:property id="RoleID" type="string">FigureArtifact</c:property>
    </c:group>
    <c:group id="2">
      <c:property id="RoleID" type="string">FigureArtifact</c:property>
    </c:group>
  </c:group>
</c: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051153-C228-47C9-A217-6378CA2F56ED}">
  <ds:schemaRefs>
    <ds:schemaRef ds:uri="http://ns.axespdf.com/word/configuration"/>
  </ds:schemaRefs>
</ds:datastoreItem>
</file>

<file path=customXml/itemProps3.xml><?xml version="1.0" encoding="utf-8"?>
<ds:datastoreItem xmlns:ds="http://schemas.openxmlformats.org/officeDocument/2006/customXml" ds:itemID="{A705D380-F72F-4E9C-ACF5-F060968B4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250808_BRO_A4_2-spaltig.dotx</Template>
  <TotalTime>0</TotalTime>
  <Pages>15</Pages>
  <Words>3612</Words>
  <Characters>32521</Characters>
  <Application>Microsoft Office Word</Application>
  <DocSecurity>0</DocSecurity>
  <Lines>271</Lines>
  <Paragraphs>72</Paragraphs>
  <ScaleCrop>false</ScaleCrop>
  <HeadingPairs>
    <vt:vector size="2" baseType="variant">
      <vt:variant>
        <vt:lpstr>Titel</vt:lpstr>
      </vt:variant>
      <vt:variant>
        <vt:i4>1</vt:i4>
      </vt:variant>
    </vt:vector>
  </HeadingPairs>
  <TitlesOfParts>
    <vt:vector size="1" baseType="lpstr">
      <vt:lpstr/>
    </vt:vector>
  </TitlesOfParts>
  <Company>TU Dresden</Company>
  <LinksUpToDate>false</LinksUpToDate>
  <CharactersWithSpaces>36061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Herr,Ines</dc:creator>
  <cp:keywords/>
  <dc:description/>
  <cp:lastModifiedBy>Herr,Ines</cp:lastModifiedBy>
  <cp:revision>8</cp:revision>
  <cp:lastPrinted>2026-09-29T10:16:00Z</cp:lastPrinted>
  <dcterms:created xsi:type="dcterms:W3CDTF">2026-06-23T07:42:00Z</dcterms:created>
  <dcterms:modified xsi:type="dcterms:W3CDTF">2026-09-29T10:17:00Z</dcterms:modified>
</cp:coreProperties>
</file>